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9.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58CC2" w14:textId="77777777" w:rsidR="00E905FC" w:rsidRPr="00AB758C" w:rsidRDefault="00E905FC" w:rsidP="00E905FC">
      <w:pPr>
        <w:spacing w:after="200" w:line="276" w:lineRule="auto"/>
        <w:ind w:left="397" w:hanging="397"/>
        <w:jc w:val="center"/>
        <w:rPr>
          <w:rFonts w:ascii="Cambria" w:eastAsia="Calibri" w:hAnsi="Cambria" w:cs="Times New Roman"/>
          <w:b/>
          <w:color w:val="0070C0"/>
          <w:sz w:val="24"/>
          <w:szCs w:val="24"/>
        </w:rPr>
      </w:pPr>
      <w:r w:rsidRPr="00AB758C">
        <w:rPr>
          <w:rFonts w:ascii="Cambria" w:eastAsia="Calibri" w:hAnsi="Cambria" w:cs="Times New Roman"/>
          <w:b/>
          <w:color w:val="0070C0"/>
          <w:sz w:val="24"/>
          <w:szCs w:val="24"/>
        </w:rPr>
        <w:t xml:space="preserve">                                                                                                                                 </w:t>
      </w:r>
      <w:bookmarkStart w:id="0" w:name="_Toc294012050"/>
    </w:p>
    <w:p w14:paraId="3305E1F1" w14:textId="77777777" w:rsidR="00E905FC" w:rsidRPr="00AB758C" w:rsidRDefault="00E905FC" w:rsidP="00E905FC">
      <w:pPr>
        <w:spacing w:after="200" w:line="276" w:lineRule="auto"/>
        <w:ind w:left="397" w:hanging="397"/>
        <w:jc w:val="center"/>
        <w:rPr>
          <w:rFonts w:ascii="Cambria" w:eastAsia="Calibri" w:hAnsi="Cambria" w:cs="Times New Roman"/>
          <w:b/>
          <w:color w:val="0070C0"/>
          <w:sz w:val="24"/>
          <w:szCs w:val="24"/>
        </w:rPr>
      </w:pPr>
      <w:r w:rsidRPr="00AB758C">
        <w:rPr>
          <w:rFonts w:ascii="Cambria" w:eastAsia="Calibri" w:hAnsi="Cambria" w:cs="Arial"/>
          <w:noProof/>
          <w:color w:val="0070C0"/>
          <w:sz w:val="24"/>
          <w:szCs w:val="24"/>
          <w:lang w:eastAsia="hr-HR"/>
        </w:rPr>
        <w:drawing>
          <wp:inline distT="0" distB="0" distL="0" distR="0" wp14:anchorId="4F0E6F06" wp14:editId="77C61856">
            <wp:extent cx="600075" cy="800100"/>
            <wp:effectExtent l="0" t="0" r="9525" b="0"/>
            <wp:docPr id="5" name="Picture 5" descr="rh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_g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800100"/>
                    </a:xfrm>
                    <a:prstGeom prst="rect">
                      <a:avLst/>
                    </a:prstGeom>
                    <a:noFill/>
                    <a:ln>
                      <a:noFill/>
                    </a:ln>
                  </pic:spPr>
                </pic:pic>
              </a:graphicData>
            </a:graphic>
          </wp:inline>
        </w:drawing>
      </w:r>
      <w:bookmarkStart w:id="1" w:name="_Toc294012051"/>
      <w:bookmarkEnd w:id="0"/>
      <w:r w:rsidRPr="00AB758C">
        <w:rPr>
          <w:rFonts w:ascii="Cambria" w:eastAsia="Calibri" w:hAnsi="Cambria" w:cs="Times New Roman"/>
          <w:b/>
          <w:color w:val="0070C0"/>
          <w:sz w:val="24"/>
          <w:szCs w:val="24"/>
        </w:rPr>
        <w:t xml:space="preserve"> </w:t>
      </w:r>
    </w:p>
    <w:p w14:paraId="03B9B0F2" w14:textId="77777777" w:rsidR="00E905FC" w:rsidRPr="00AB758C" w:rsidRDefault="00E905FC" w:rsidP="00E905FC">
      <w:pPr>
        <w:spacing w:after="120" w:line="276" w:lineRule="auto"/>
        <w:ind w:left="397" w:hanging="397"/>
        <w:jc w:val="center"/>
        <w:rPr>
          <w:rFonts w:ascii="Cambria" w:eastAsia="Calibri" w:hAnsi="Cambria" w:cs="Times New Roman"/>
          <w:b/>
          <w:color w:val="0070C0"/>
          <w:sz w:val="32"/>
          <w:szCs w:val="32"/>
        </w:rPr>
      </w:pPr>
      <w:r w:rsidRPr="00AB758C">
        <w:rPr>
          <w:rFonts w:ascii="Cambria" w:eastAsia="Calibri" w:hAnsi="Cambria" w:cs="Times New Roman"/>
          <w:b/>
          <w:color w:val="0070C0"/>
          <w:sz w:val="32"/>
          <w:szCs w:val="32"/>
        </w:rPr>
        <w:t>Vlada Republike Hrvatske</w:t>
      </w:r>
      <w:bookmarkEnd w:id="1"/>
    </w:p>
    <w:p w14:paraId="05C5F7F4" w14:textId="77777777" w:rsidR="00E905FC" w:rsidRPr="00AB758C" w:rsidRDefault="00E905FC" w:rsidP="00E905FC">
      <w:pPr>
        <w:spacing w:after="120" w:line="276" w:lineRule="auto"/>
        <w:ind w:left="397" w:hanging="397"/>
        <w:jc w:val="center"/>
        <w:rPr>
          <w:rFonts w:ascii="Cambria" w:eastAsia="Calibri" w:hAnsi="Cambria" w:cs="Times New Roman"/>
          <w:b/>
          <w:color w:val="0070C0"/>
          <w:sz w:val="32"/>
          <w:szCs w:val="32"/>
        </w:rPr>
      </w:pPr>
      <w:bookmarkStart w:id="2" w:name="_Toc294012052"/>
      <w:r w:rsidRPr="00AB758C">
        <w:rPr>
          <w:rFonts w:ascii="Cambria" w:eastAsia="Calibri" w:hAnsi="Cambria" w:cs="Times New Roman"/>
          <w:b/>
          <w:color w:val="0070C0"/>
          <w:sz w:val="32"/>
          <w:szCs w:val="32"/>
        </w:rPr>
        <w:t>Ured za udruge</w:t>
      </w:r>
      <w:bookmarkEnd w:id="2"/>
    </w:p>
    <w:p w14:paraId="16C5FC6C" w14:textId="77777777" w:rsidR="00E905FC" w:rsidRPr="00AB758C" w:rsidRDefault="00E905FC" w:rsidP="00E905FC">
      <w:pPr>
        <w:spacing w:after="300" w:line="240" w:lineRule="auto"/>
        <w:contextualSpacing/>
        <w:jc w:val="center"/>
        <w:rPr>
          <w:rFonts w:ascii="Cambria" w:eastAsia="SimSun" w:hAnsi="Cambria" w:cs="Times New Roman"/>
          <w:b/>
          <w:color w:val="0070C0"/>
          <w:spacing w:val="5"/>
          <w:kern w:val="28"/>
          <w:sz w:val="32"/>
          <w:szCs w:val="32"/>
        </w:rPr>
      </w:pPr>
    </w:p>
    <w:p w14:paraId="4471783A" w14:textId="77777777" w:rsidR="00E905FC" w:rsidRPr="00AB758C" w:rsidRDefault="00E905FC" w:rsidP="00E905FC">
      <w:pPr>
        <w:spacing w:after="200" w:line="276" w:lineRule="auto"/>
        <w:ind w:left="397" w:hanging="397"/>
        <w:jc w:val="center"/>
        <w:rPr>
          <w:rFonts w:ascii="Cambria" w:eastAsia="Calibri" w:hAnsi="Cambria" w:cs="Times New Roman"/>
          <w:b/>
          <w:color w:val="0070C0"/>
          <w:sz w:val="32"/>
          <w:szCs w:val="32"/>
        </w:rPr>
      </w:pPr>
    </w:p>
    <w:p w14:paraId="501E1D5D" w14:textId="77777777" w:rsidR="00E905FC" w:rsidRPr="00AB758C" w:rsidRDefault="00E905FC" w:rsidP="00E905FC">
      <w:pPr>
        <w:spacing w:after="300" w:line="240" w:lineRule="auto"/>
        <w:contextualSpacing/>
        <w:jc w:val="center"/>
        <w:rPr>
          <w:rFonts w:ascii="Cambria" w:eastAsia="SimSun" w:hAnsi="Cambria" w:cs="Times New Roman"/>
          <w:b/>
          <w:color w:val="0070C0"/>
          <w:spacing w:val="5"/>
          <w:kern w:val="28"/>
          <w:sz w:val="32"/>
          <w:szCs w:val="32"/>
        </w:rPr>
      </w:pPr>
    </w:p>
    <w:p w14:paraId="2E595FE3" w14:textId="77777777" w:rsidR="00E905FC" w:rsidRPr="00AB758C" w:rsidRDefault="00E905FC" w:rsidP="00E905FC">
      <w:pPr>
        <w:spacing w:after="300" w:line="240" w:lineRule="auto"/>
        <w:contextualSpacing/>
        <w:rPr>
          <w:rFonts w:ascii="Cambria" w:eastAsia="SimSun" w:hAnsi="Cambria" w:cs="Times New Roman"/>
          <w:b/>
          <w:color w:val="0070C0"/>
          <w:spacing w:val="5"/>
          <w:kern w:val="28"/>
          <w:sz w:val="32"/>
          <w:szCs w:val="32"/>
        </w:rPr>
      </w:pPr>
    </w:p>
    <w:p w14:paraId="35C05EE8" w14:textId="77777777" w:rsidR="00E905FC" w:rsidRPr="00AB758C" w:rsidRDefault="00E905FC" w:rsidP="00E905FC">
      <w:pPr>
        <w:spacing w:after="300" w:line="240" w:lineRule="auto"/>
        <w:contextualSpacing/>
        <w:jc w:val="center"/>
        <w:rPr>
          <w:rFonts w:ascii="Cambria" w:eastAsia="SimSun" w:hAnsi="Cambria" w:cs="Times New Roman"/>
          <w:b/>
          <w:color w:val="0070C0"/>
          <w:spacing w:val="5"/>
          <w:kern w:val="28"/>
          <w:sz w:val="32"/>
          <w:szCs w:val="32"/>
        </w:rPr>
      </w:pPr>
      <w:bookmarkStart w:id="3" w:name="_GoBack"/>
      <w:bookmarkEnd w:id="3"/>
    </w:p>
    <w:p w14:paraId="3005C326" w14:textId="77777777" w:rsidR="00E905FC" w:rsidRPr="00AB758C" w:rsidRDefault="00E905FC" w:rsidP="00E905FC">
      <w:pPr>
        <w:spacing w:after="300" w:line="240" w:lineRule="auto"/>
        <w:contextualSpacing/>
        <w:jc w:val="center"/>
        <w:rPr>
          <w:rFonts w:ascii="Cambria" w:eastAsia="SimSun" w:hAnsi="Cambria" w:cs="Times New Roman"/>
          <w:b/>
          <w:color w:val="0070C0"/>
          <w:spacing w:val="5"/>
          <w:kern w:val="28"/>
          <w:sz w:val="32"/>
          <w:szCs w:val="32"/>
        </w:rPr>
      </w:pPr>
    </w:p>
    <w:p w14:paraId="681C4C9D" w14:textId="77777777" w:rsidR="00E905FC" w:rsidRPr="00AB758C" w:rsidRDefault="00E905FC" w:rsidP="00E905FC">
      <w:pPr>
        <w:spacing w:after="300" w:line="240" w:lineRule="auto"/>
        <w:contextualSpacing/>
        <w:jc w:val="center"/>
        <w:rPr>
          <w:rFonts w:ascii="Cambria" w:eastAsia="SimSun" w:hAnsi="Cambria" w:cs="Times New Roman"/>
          <w:b/>
          <w:color w:val="0070C0"/>
          <w:spacing w:val="5"/>
          <w:kern w:val="28"/>
          <w:sz w:val="32"/>
          <w:szCs w:val="32"/>
        </w:rPr>
      </w:pPr>
      <w:r w:rsidRPr="00AB758C">
        <w:rPr>
          <w:rFonts w:ascii="Cambria" w:eastAsia="SimSun" w:hAnsi="Cambria" w:cs="Times New Roman"/>
          <w:b/>
          <w:color w:val="0070C0"/>
          <w:spacing w:val="5"/>
          <w:kern w:val="28"/>
          <w:sz w:val="32"/>
          <w:szCs w:val="32"/>
        </w:rPr>
        <w:t xml:space="preserve">Izvješće </w:t>
      </w:r>
    </w:p>
    <w:p w14:paraId="20B40BA3" w14:textId="77777777" w:rsidR="00E905FC" w:rsidRPr="00AB758C" w:rsidRDefault="00E905FC" w:rsidP="00E905FC">
      <w:pPr>
        <w:spacing w:after="300" w:line="240" w:lineRule="auto"/>
        <w:contextualSpacing/>
        <w:jc w:val="center"/>
        <w:rPr>
          <w:rFonts w:ascii="Cambria" w:eastAsia="SimSun" w:hAnsi="Cambria" w:cs="Times New Roman"/>
          <w:b/>
          <w:color w:val="0070C0"/>
          <w:spacing w:val="5"/>
          <w:kern w:val="28"/>
          <w:sz w:val="32"/>
          <w:szCs w:val="32"/>
        </w:rPr>
      </w:pPr>
      <w:r w:rsidRPr="00AB758C">
        <w:rPr>
          <w:rFonts w:ascii="Cambria" w:eastAsia="SimSun" w:hAnsi="Cambria" w:cs="Times New Roman"/>
          <w:b/>
          <w:color w:val="0070C0"/>
          <w:spacing w:val="5"/>
          <w:kern w:val="28"/>
          <w:sz w:val="32"/>
          <w:szCs w:val="32"/>
        </w:rPr>
        <w:t>o provedbi savjetovanja sa zainteresiranom javnošću u postupcima donošenja zakona, drugih propisa i akata</w:t>
      </w:r>
    </w:p>
    <w:p w14:paraId="362F3592" w14:textId="77777777" w:rsidR="00E905FC" w:rsidRPr="00AB758C" w:rsidRDefault="00E905FC" w:rsidP="00E905FC">
      <w:pPr>
        <w:spacing w:after="300" w:line="240" w:lineRule="auto"/>
        <w:contextualSpacing/>
        <w:jc w:val="center"/>
        <w:rPr>
          <w:rFonts w:ascii="Cambria" w:eastAsia="SimSun" w:hAnsi="Cambria" w:cs="Calibri"/>
          <w:b/>
          <w:color w:val="0070C0"/>
          <w:spacing w:val="5"/>
          <w:kern w:val="28"/>
          <w:sz w:val="32"/>
          <w:szCs w:val="32"/>
        </w:rPr>
      </w:pPr>
      <w:r w:rsidRPr="00AB758C">
        <w:rPr>
          <w:rFonts w:ascii="Cambria" w:eastAsia="SimSun" w:hAnsi="Cambria" w:cs="Times New Roman"/>
          <w:b/>
          <w:color w:val="0070C0"/>
          <w:spacing w:val="5"/>
          <w:kern w:val="28"/>
          <w:sz w:val="32"/>
          <w:szCs w:val="32"/>
        </w:rPr>
        <w:t>u 2018. godini</w:t>
      </w:r>
    </w:p>
    <w:p w14:paraId="4C26F536" w14:textId="77777777" w:rsidR="00E905FC" w:rsidRPr="00AB758C" w:rsidRDefault="00E905FC" w:rsidP="00E905FC">
      <w:pPr>
        <w:spacing w:after="200" w:line="276" w:lineRule="auto"/>
        <w:jc w:val="both"/>
        <w:rPr>
          <w:rFonts w:ascii="Cambria" w:eastAsia="Calibri" w:hAnsi="Cambria" w:cs="Calibri"/>
          <w:b/>
          <w:color w:val="0070C0"/>
          <w:sz w:val="32"/>
          <w:szCs w:val="32"/>
        </w:rPr>
      </w:pPr>
    </w:p>
    <w:p w14:paraId="0D99E3EC" w14:textId="77777777" w:rsidR="00E905FC" w:rsidRPr="00AB758C" w:rsidRDefault="00E905FC" w:rsidP="00E905FC">
      <w:pPr>
        <w:spacing w:after="200" w:line="276" w:lineRule="auto"/>
        <w:jc w:val="both"/>
        <w:rPr>
          <w:rFonts w:ascii="Cambria" w:eastAsia="Calibri" w:hAnsi="Cambria" w:cs="Calibri"/>
          <w:b/>
          <w:color w:val="0070C0"/>
          <w:sz w:val="32"/>
          <w:szCs w:val="32"/>
        </w:rPr>
      </w:pPr>
    </w:p>
    <w:p w14:paraId="63C99D43" w14:textId="77777777" w:rsidR="00E905FC" w:rsidRPr="00AB758C" w:rsidRDefault="00E905FC" w:rsidP="00E905FC">
      <w:pPr>
        <w:spacing w:after="200" w:line="276" w:lineRule="auto"/>
        <w:jc w:val="both"/>
        <w:rPr>
          <w:rFonts w:ascii="Cambria" w:eastAsia="Calibri" w:hAnsi="Cambria" w:cs="Calibri"/>
          <w:b/>
          <w:color w:val="0070C0"/>
          <w:sz w:val="32"/>
          <w:szCs w:val="32"/>
        </w:rPr>
      </w:pPr>
    </w:p>
    <w:p w14:paraId="25F6A379" w14:textId="77777777" w:rsidR="008028F8" w:rsidRDefault="008028F8">
      <w:pPr>
        <w:rPr>
          <w:rFonts w:ascii="Cambria" w:eastAsia="Calibri" w:hAnsi="Cambria" w:cs="Calibri"/>
          <w:b/>
          <w:color w:val="0070C0"/>
          <w:sz w:val="32"/>
          <w:szCs w:val="32"/>
        </w:rPr>
      </w:pPr>
    </w:p>
    <w:p w14:paraId="50886006" w14:textId="77777777" w:rsidR="00463292" w:rsidRDefault="00463292">
      <w:pPr>
        <w:rPr>
          <w:rFonts w:ascii="Cambria" w:eastAsia="Calibri" w:hAnsi="Cambria" w:cs="Calibri"/>
          <w:b/>
          <w:color w:val="0070C0"/>
          <w:sz w:val="32"/>
          <w:szCs w:val="32"/>
        </w:rPr>
      </w:pPr>
    </w:p>
    <w:p w14:paraId="1AD8B693" w14:textId="77777777" w:rsidR="00463292" w:rsidRDefault="00463292">
      <w:pPr>
        <w:rPr>
          <w:rFonts w:ascii="Cambria" w:eastAsia="Calibri" w:hAnsi="Cambria" w:cs="Calibri"/>
          <w:b/>
          <w:color w:val="0070C0"/>
          <w:sz w:val="32"/>
          <w:szCs w:val="32"/>
        </w:rPr>
      </w:pPr>
    </w:p>
    <w:p w14:paraId="06E0EA91" w14:textId="77777777" w:rsidR="00463292" w:rsidRDefault="00463292">
      <w:pPr>
        <w:rPr>
          <w:rFonts w:ascii="Cambria" w:eastAsia="Calibri" w:hAnsi="Cambria" w:cs="Calibri"/>
          <w:b/>
          <w:color w:val="0070C0"/>
          <w:sz w:val="32"/>
          <w:szCs w:val="32"/>
        </w:rPr>
      </w:pPr>
    </w:p>
    <w:p w14:paraId="7D9362E3" w14:textId="77777777" w:rsidR="00463292" w:rsidRPr="00AB758C" w:rsidRDefault="00463292">
      <w:pPr>
        <w:rPr>
          <w:rFonts w:ascii="Cambria" w:hAnsi="Cambria"/>
          <w:sz w:val="24"/>
          <w:szCs w:val="24"/>
        </w:rPr>
      </w:pPr>
    </w:p>
    <w:p w14:paraId="01EA27B6" w14:textId="77777777" w:rsidR="008028F8" w:rsidRPr="00AB758C" w:rsidRDefault="008028F8">
      <w:pPr>
        <w:rPr>
          <w:rFonts w:ascii="Cambria" w:hAnsi="Cambria"/>
          <w:sz w:val="24"/>
          <w:szCs w:val="24"/>
        </w:rPr>
      </w:pPr>
    </w:p>
    <w:sdt>
      <w:sdtPr>
        <w:rPr>
          <w:rFonts w:asciiTheme="minorHAnsi" w:eastAsiaTheme="minorHAnsi" w:hAnsiTheme="minorHAnsi" w:cstheme="minorBidi"/>
          <w:color w:val="auto"/>
          <w:sz w:val="22"/>
          <w:szCs w:val="22"/>
          <w:lang w:val="hr-HR"/>
        </w:rPr>
        <w:id w:val="-1237863862"/>
        <w:docPartObj>
          <w:docPartGallery w:val="Table of Contents"/>
          <w:docPartUnique/>
        </w:docPartObj>
      </w:sdtPr>
      <w:sdtEndPr>
        <w:rPr>
          <w:b/>
          <w:bCs/>
          <w:noProof/>
        </w:rPr>
      </w:sdtEndPr>
      <w:sdtContent>
        <w:p w14:paraId="0F0220ED" w14:textId="77777777" w:rsidR="005C2B7D" w:rsidRPr="008F5BEE" w:rsidRDefault="008F5BEE">
          <w:pPr>
            <w:pStyle w:val="TOCHeading"/>
            <w:rPr>
              <w:rFonts w:ascii="Cambria" w:hAnsi="Cambria"/>
            </w:rPr>
          </w:pPr>
          <w:r w:rsidRPr="008F5BEE">
            <w:rPr>
              <w:rFonts w:ascii="Cambria" w:hAnsi="Cambria"/>
            </w:rPr>
            <w:t>SADRŽAJ</w:t>
          </w:r>
        </w:p>
        <w:p w14:paraId="5FB5D33A" w14:textId="77777777" w:rsidR="008F5BEE" w:rsidRPr="008F5BEE" w:rsidRDefault="008F5BEE" w:rsidP="008F5BEE">
          <w:pPr>
            <w:rPr>
              <w:rFonts w:ascii="Cambria" w:hAnsi="Cambria"/>
              <w:lang w:val="en-US"/>
            </w:rPr>
          </w:pPr>
        </w:p>
        <w:p w14:paraId="6A7602B4" w14:textId="77777777" w:rsidR="007002BC" w:rsidRDefault="005C2B7D">
          <w:pPr>
            <w:pStyle w:val="TOC1"/>
            <w:tabs>
              <w:tab w:val="right" w:leader="dot" w:pos="9350"/>
            </w:tabs>
            <w:rPr>
              <w:rFonts w:eastAsiaTheme="minorEastAsia"/>
              <w:noProof/>
              <w:lang w:eastAsia="hr-HR"/>
            </w:rPr>
          </w:pPr>
          <w:r w:rsidRPr="008F5BEE">
            <w:rPr>
              <w:rFonts w:ascii="Cambria" w:hAnsi="Cambria"/>
              <w:b/>
              <w:bCs/>
              <w:noProof/>
              <w:color w:val="0070C0"/>
              <w:sz w:val="28"/>
              <w:szCs w:val="28"/>
            </w:rPr>
            <w:fldChar w:fldCharType="begin"/>
          </w:r>
          <w:r w:rsidRPr="008F5BEE">
            <w:rPr>
              <w:rFonts w:ascii="Cambria" w:hAnsi="Cambria"/>
              <w:b/>
              <w:bCs/>
              <w:noProof/>
              <w:color w:val="0070C0"/>
              <w:sz w:val="28"/>
              <w:szCs w:val="28"/>
            </w:rPr>
            <w:instrText xml:space="preserve"> TOC \o "1-3" \h \z \u </w:instrText>
          </w:r>
          <w:r w:rsidRPr="008F5BEE">
            <w:rPr>
              <w:rFonts w:ascii="Cambria" w:hAnsi="Cambria"/>
              <w:b/>
              <w:bCs/>
              <w:noProof/>
              <w:color w:val="0070C0"/>
              <w:sz w:val="28"/>
              <w:szCs w:val="28"/>
            </w:rPr>
            <w:fldChar w:fldCharType="separate"/>
          </w:r>
          <w:hyperlink w:anchor="_Toc4076863" w:history="1">
            <w:r w:rsidR="007002BC" w:rsidRPr="00CA0981">
              <w:rPr>
                <w:rStyle w:val="Hyperlink"/>
                <w:b/>
                <w:noProof/>
              </w:rPr>
              <w:t>1) UVOD</w:t>
            </w:r>
            <w:r w:rsidR="007002BC">
              <w:rPr>
                <w:noProof/>
                <w:webHidden/>
              </w:rPr>
              <w:tab/>
            </w:r>
            <w:r w:rsidR="007002BC">
              <w:rPr>
                <w:noProof/>
                <w:webHidden/>
              </w:rPr>
              <w:fldChar w:fldCharType="begin"/>
            </w:r>
            <w:r w:rsidR="007002BC">
              <w:rPr>
                <w:noProof/>
                <w:webHidden/>
              </w:rPr>
              <w:instrText xml:space="preserve"> PAGEREF _Toc4076863 \h </w:instrText>
            </w:r>
            <w:r w:rsidR="007002BC">
              <w:rPr>
                <w:noProof/>
                <w:webHidden/>
              </w:rPr>
            </w:r>
            <w:r w:rsidR="007002BC">
              <w:rPr>
                <w:noProof/>
                <w:webHidden/>
              </w:rPr>
              <w:fldChar w:fldCharType="separate"/>
            </w:r>
            <w:r w:rsidR="001A1509">
              <w:rPr>
                <w:noProof/>
                <w:webHidden/>
              </w:rPr>
              <w:t>3</w:t>
            </w:r>
            <w:r w:rsidR="007002BC">
              <w:rPr>
                <w:noProof/>
                <w:webHidden/>
              </w:rPr>
              <w:fldChar w:fldCharType="end"/>
            </w:r>
          </w:hyperlink>
        </w:p>
        <w:p w14:paraId="4C529C84" w14:textId="77777777" w:rsidR="007002BC" w:rsidRDefault="009527CC">
          <w:pPr>
            <w:pStyle w:val="TOC2"/>
            <w:tabs>
              <w:tab w:val="right" w:leader="dot" w:pos="9350"/>
            </w:tabs>
            <w:rPr>
              <w:rFonts w:eastAsiaTheme="minorEastAsia"/>
              <w:noProof/>
              <w:lang w:eastAsia="hr-HR"/>
            </w:rPr>
          </w:pPr>
          <w:hyperlink w:anchor="_Toc4076864" w:history="1">
            <w:r w:rsidR="007002BC" w:rsidRPr="00CA0981">
              <w:rPr>
                <w:rStyle w:val="Hyperlink"/>
                <w:noProof/>
              </w:rPr>
              <w:t>1.1. Zašto provoditi savjetovanja sa zainteresiranom javnošću?</w:t>
            </w:r>
            <w:r w:rsidR="007002BC">
              <w:rPr>
                <w:noProof/>
                <w:webHidden/>
              </w:rPr>
              <w:tab/>
            </w:r>
            <w:r w:rsidR="007002BC">
              <w:rPr>
                <w:noProof/>
                <w:webHidden/>
              </w:rPr>
              <w:fldChar w:fldCharType="begin"/>
            </w:r>
            <w:r w:rsidR="007002BC">
              <w:rPr>
                <w:noProof/>
                <w:webHidden/>
              </w:rPr>
              <w:instrText xml:space="preserve"> PAGEREF _Toc4076864 \h </w:instrText>
            </w:r>
            <w:r w:rsidR="007002BC">
              <w:rPr>
                <w:noProof/>
                <w:webHidden/>
              </w:rPr>
            </w:r>
            <w:r w:rsidR="007002BC">
              <w:rPr>
                <w:noProof/>
                <w:webHidden/>
              </w:rPr>
              <w:fldChar w:fldCharType="separate"/>
            </w:r>
            <w:r w:rsidR="001A1509">
              <w:rPr>
                <w:noProof/>
                <w:webHidden/>
              </w:rPr>
              <w:t>3</w:t>
            </w:r>
            <w:r w:rsidR="007002BC">
              <w:rPr>
                <w:noProof/>
                <w:webHidden/>
              </w:rPr>
              <w:fldChar w:fldCharType="end"/>
            </w:r>
          </w:hyperlink>
        </w:p>
        <w:p w14:paraId="184B47BA" w14:textId="77777777" w:rsidR="007002BC" w:rsidRDefault="009527CC">
          <w:pPr>
            <w:pStyle w:val="TOC1"/>
            <w:tabs>
              <w:tab w:val="right" w:leader="dot" w:pos="9350"/>
            </w:tabs>
            <w:rPr>
              <w:rFonts w:eastAsiaTheme="minorEastAsia"/>
              <w:noProof/>
              <w:lang w:eastAsia="hr-HR"/>
            </w:rPr>
          </w:pPr>
          <w:hyperlink w:anchor="_Toc4076865" w:history="1">
            <w:r w:rsidR="007002BC" w:rsidRPr="00CA0981">
              <w:rPr>
                <w:rStyle w:val="Hyperlink"/>
                <w:b/>
                <w:noProof/>
              </w:rPr>
              <w:t>2. NORMATIVNI OKVIR ZA PROVEDBU SAVJETOVANJA S JAVNOŠĆU U REPUBLICI HRVATSKOJ</w:t>
            </w:r>
            <w:r w:rsidR="007002BC">
              <w:rPr>
                <w:noProof/>
                <w:webHidden/>
              </w:rPr>
              <w:tab/>
            </w:r>
            <w:r w:rsidR="007002BC">
              <w:rPr>
                <w:noProof/>
                <w:webHidden/>
              </w:rPr>
              <w:fldChar w:fldCharType="begin"/>
            </w:r>
            <w:r w:rsidR="007002BC">
              <w:rPr>
                <w:noProof/>
                <w:webHidden/>
              </w:rPr>
              <w:instrText xml:space="preserve"> PAGEREF _Toc4076865 \h </w:instrText>
            </w:r>
            <w:r w:rsidR="007002BC">
              <w:rPr>
                <w:noProof/>
                <w:webHidden/>
              </w:rPr>
            </w:r>
            <w:r w:rsidR="007002BC">
              <w:rPr>
                <w:noProof/>
                <w:webHidden/>
              </w:rPr>
              <w:fldChar w:fldCharType="separate"/>
            </w:r>
            <w:r w:rsidR="001A1509">
              <w:rPr>
                <w:noProof/>
                <w:webHidden/>
              </w:rPr>
              <w:t>4</w:t>
            </w:r>
            <w:r w:rsidR="007002BC">
              <w:rPr>
                <w:noProof/>
                <w:webHidden/>
              </w:rPr>
              <w:fldChar w:fldCharType="end"/>
            </w:r>
          </w:hyperlink>
        </w:p>
        <w:p w14:paraId="1B0B60E5" w14:textId="77777777" w:rsidR="007002BC" w:rsidRDefault="009527CC">
          <w:pPr>
            <w:pStyle w:val="TOC2"/>
            <w:tabs>
              <w:tab w:val="right" w:leader="dot" w:pos="9350"/>
            </w:tabs>
            <w:rPr>
              <w:rFonts w:eastAsiaTheme="minorEastAsia"/>
              <w:noProof/>
              <w:lang w:eastAsia="hr-HR"/>
            </w:rPr>
          </w:pPr>
          <w:hyperlink w:anchor="_Toc4076866" w:history="1">
            <w:r w:rsidR="007002BC" w:rsidRPr="00CA0981">
              <w:rPr>
                <w:rStyle w:val="Hyperlink"/>
                <w:noProof/>
              </w:rPr>
              <w:t>2.1. Provedba savjetovanja sa zainteresiranom javnošću u Republici Hrvatskoj</w:t>
            </w:r>
            <w:r w:rsidR="007002BC">
              <w:rPr>
                <w:noProof/>
                <w:webHidden/>
              </w:rPr>
              <w:tab/>
            </w:r>
            <w:r w:rsidR="007002BC">
              <w:rPr>
                <w:noProof/>
                <w:webHidden/>
              </w:rPr>
              <w:fldChar w:fldCharType="begin"/>
            </w:r>
            <w:r w:rsidR="007002BC">
              <w:rPr>
                <w:noProof/>
                <w:webHidden/>
              </w:rPr>
              <w:instrText xml:space="preserve"> PAGEREF _Toc4076866 \h </w:instrText>
            </w:r>
            <w:r w:rsidR="007002BC">
              <w:rPr>
                <w:noProof/>
                <w:webHidden/>
              </w:rPr>
            </w:r>
            <w:r w:rsidR="007002BC">
              <w:rPr>
                <w:noProof/>
                <w:webHidden/>
              </w:rPr>
              <w:fldChar w:fldCharType="separate"/>
            </w:r>
            <w:r w:rsidR="001A1509">
              <w:rPr>
                <w:noProof/>
                <w:webHidden/>
              </w:rPr>
              <w:t>5</w:t>
            </w:r>
            <w:r w:rsidR="007002BC">
              <w:rPr>
                <w:noProof/>
                <w:webHidden/>
              </w:rPr>
              <w:fldChar w:fldCharType="end"/>
            </w:r>
          </w:hyperlink>
        </w:p>
        <w:p w14:paraId="1E90FF1F" w14:textId="77777777" w:rsidR="007002BC" w:rsidRDefault="009527CC">
          <w:pPr>
            <w:pStyle w:val="TOC2"/>
            <w:tabs>
              <w:tab w:val="right" w:leader="dot" w:pos="9350"/>
            </w:tabs>
            <w:rPr>
              <w:rFonts w:eastAsiaTheme="minorEastAsia"/>
              <w:noProof/>
              <w:lang w:eastAsia="hr-HR"/>
            </w:rPr>
          </w:pPr>
          <w:hyperlink w:anchor="_Toc4076867" w:history="1">
            <w:r w:rsidR="007002BC" w:rsidRPr="00CA0981">
              <w:rPr>
                <w:rStyle w:val="Hyperlink"/>
                <w:noProof/>
              </w:rPr>
              <w:t>2.2. Republika Hrvatska u međunarodnom kontekstu</w:t>
            </w:r>
            <w:r w:rsidR="007002BC">
              <w:rPr>
                <w:noProof/>
                <w:webHidden/>
              </w:rPr>
              <w:tab/>
            </w:r>
            <w:r w:rsidR="007002BC">
              <w:rPr>
                <w:noProof/>
                <w:webHidden/>
              </w:rPr>
              <w:fldChar w:fldCharType="begin"/>
            </w:r>
            <w:r w:rsidR="007002BC">
              <w:rPr>
                <w:noProof/>
                <w:webHidden/>
              </w:rPr>
              <w:instrText xml:space="preserve"> PAGEREF _Toc4076867 \h </w:instrText>
            </w:r>
            <w:r w:rsidR="007002BC">
              <w:rPr>
                <w:noProof/>
                <w:webHidden/>
              </w:rPr>
            </w:r>
            <w:r w:rsidR="007002BC">
              <w:rPr>
                <w:noProof/>
                <w:webHidden/>
              </w:rPr>
              <w:fldChar w:fldCharType="separate"/>
            </w:r>
            <w:r w:rsidR="001A1509">
              <w:rPr>
                <w:noProof/>
                <w:webHidden/>
              </w:rPr>
              <w:t>7</w:t>
            </w:r>
            <w:r w:rsidR="007002BC">
              <w:rPr>
                <w:noProof/>
                <w:webHidden/>
              </w:rPr>
              <w:fldChar w:fldCharType="end"/>
            </w:r>
          </w:hyperlink>
        </w:p>
        <w:p w14:paraId="3B97F824" w14:textId="77777777" w:rsidR="007002BC" w:rsidRDefault="009527CC">
          <w:pPr>
            <w:pStyle w:val="TOC1"/>
            <w:tabs>
              <w:tab w:val="right" w:leader="dot" w:pos="9350"/>
            </w:tabs>
            <w:rPr>
              <w:rFonts w:eastAsiaTheme="minorEastAsia"/>
              <w:noProof/>
              <w:lang w:eastAsia="hr-HR"/>
            </w:rPr>
          </w:pPr>
          <w:hyperlink w:anchor="_Toc4076868" w:history="1">
            <w:r w:rsidR="007002BC" w:rsidRPr="00CA0981">
              <w:rPr>
                <w:rStyle w:val="Hyperlink"/>
                <w:b/>
                <w:noProof/>
              </w:rPr>
              <w:t>3. JAČANJE KAPACITETA TIJELA DRŽAVNE UPRAVE ZA PROVEDBU SAVJETOVANJA</w:t>
            </w:r>
            <w:r w:rsidR="007002BC">
              <w:rPr>
                <w:noProof/>
                <w:webHidden/>
              </w:rPr>
              <w:tab/>
            </w:r>
            <w:r w:rsidR="007002BC">
              <w:rPr>
                <w:noProof/>
                <w:webHidden/>
              </w:rPr>
              <w:fldChar w:fldCharType="begin"/>
            </w:r>
            <w:r w:rsidR="007002BC">
              <w:rPr>
                <w:noProof/>
                <w:webHidden/>
              </w:rPr>
              <w:instrText xml:space="preserve"> PAGEREF _Toc4076868 \h </w:instrText>
            </w:r>
            <w:r w:rsidR="007002BC">
              <w:rPr>
                <w:noProof/>
                <w:webHidden/>
              </w:rPr>
            </w:r>
            <w:r w:rsidR="007002BC">
              <w:rPr>
                <w:noProof/>
                <w:webHidden/>
              </w:rPr>
              <w:fldChar w:fldCharType="separate"/>
            </w:r>
            <w:r w:rsidR="001A1509">
              <w:rPr>
                <w:noProof/>
                <w:webHidden/>
              </w:rPr>
              <w:t>8</w:t>
            </w:r>
            <w:r w:rsidR="007002BC">
              <w:rPr>
                <w:noProof/>
                <w:webHidden/>
              </w:rPr>
              <w:fldChar w:fldCharType="end"/>
            </w:r>
          </w:hyperlink>
        </w:p>
        <w:p w14:paraId="5017598A" w14:textId="77777777" w:rsidR="007002BC" w:rsidRDefault="009527CC">
          <w:pPr>
            <w:pStyle w:val="TOC1"/>
            <w:tabs>
              <w:tab w:val="right" w:leader="dot" w:pos="9350"/>
            </w:tabs>
            <w:rPr>
              <w:rFonts w:eastAsiaTheme="minorEastAsia"/>
              <w:noProof/>
              <w:lang w:eastAsia="hr-HR"/>
            </w:rPr>
          </w:pPr>
          <w:hyperlink w:anchor="_Toc4076869" w:history="1">
            <w:r w:rsidR="007002BC" w:rsidRPr="00CA0981">
              <w:rPr>
                <w:rStyle w:val="Hyperlink"/>
                <w:b/>
                <w:noProof/>
              </w:rPr>
              <w:t>4. ANALIZA PROVEDENIH SAVJETOVANJA U 2018.</w:t>
            </w:r>
            <w:r w:rsidR="007002BC">
              <w:rPr>
                <w:noProof/>
                <w:webHidden/>
              </w:rPr>
              <w:tab/>
            </w:r>
            <w:r w:rsidR="007002BC">
              <w:rPr>
                <w:noProof/>
                <w:webHidden/>
              </w:rPr>
              <w:fldChar w:fldCharType="begin"/>
            </w:r>
            <w:r w:rsidR="007002BC">
              <w:rPr>
                <w:noProof/>
                <w:webHidden/>
              </w:rPr>
              <w:instrText xml:space="preserve"> PAGEREF _Toc4076869 \h </w:instrText>
            </w:r>
            <w:r w:rsidR="007002BC">
              <w:rPr>
                <w:noProof/>
                <w:webHidden/>
              </w:rPr>
            </w:r>
            <w:r w:rsidR="007002BC">
              <w:rPr>
                <w:noProof/>
                <w:webHidden/>
              </w:rPr>
              <w:fldChar w:fldCharType="separate"/>
            </w:r>
            <w:r w:rsidR="001A1509">
              <w:rPr>
                <w:noProof/>
                <w:webHidden/>
              </w:rPr>
              <w:t>8</w:t>
            </w:r>
            <w:r w:rsidR="007002BC">
              <w:rPr>
                <w:noProof/>
                <w:webHidden/>
              </w:rPr>
              <w:fldChar w:fldCharType="end"/>
            </w:r>
          </w:hyperlink>
        </w:p>
        <w:p w14:paraId="2AD2E285" w14:textId="77777777" w:rsidR="007002BC" w:rsidRDefault="009527CC">
          <w:pPr>
            <w:pStyle w:val="TOC2"/>
            <w:tabs>
              <w:tab w:val="right" w:leader="dot" w:pos="9350"/>
            </w:tabs>
            <w:rPr>
              <w:rFonts w:eastAsiaTheme="minorEastAsia"/>
              <w:noProof/>
              <w:lang w:eastAsia="hr-HR"/>
            </w:rPr>
          </w:pPr>
          <w:hyperlink w:anchor="_Toc4076870" w:history="1">
            <w:r w:rsidR="007002BC" w:rsidRPr="00CA0981">
              <w:rPr>
                <w:rStyle w:val="Hyperlink"/>
                <w:noProof/>
              </w:rPr>
              <w:t>4.1. Ukupan broj provedenih savjetovanja</w:t>
            </w:r>
            <w:r w:rsidR="007002BC">
              <w:rPr>
                <w:noProof/>
                <w:webHidden/>
              </w:rPr>
              <w:tab/>
            </w:r>
            <w:r w:rsidR="007002BC">
              <w:rPr>
                <w:noProof/>
                <w:webHidden/>
              </w:rPr>
              <w:fldChar w:fldCharType="begin"/>
            </w:r>
            <w:r w:rsidR="007002BC">
              <w:rPr>
                <w:noProof/>
                <w:webHidden/>
              </w:rPr>
              <w:instrText xml:space="preserve"> PAGEREF _Toc4076870 \h </w:instrText>
            </w:r>
            <w:r w:rsidR="007002BC">
              <w:rPr>
                <w:noProof/>
                <w:webHidden/>
              </w:rPr>
            </w:r>
            <w:r w:rsidR="007002BC">
              <w:rPr>
                <w:noProof/>
                <w:webHidden/>
              </w:rPr>
              <w:fldChar w:fldCharType="separate"/>
            </w:r>
            <w:r w:rsidR="001A1509">
              <w:rPr>
                <w:noProof/>
                <w:webHidden/>
              </w:rPr>
              <w:t>9</w:t>
            </w:r>
            <w:r w:rsidR="007002BC">
              <w:rPr>
                <w:noProof/>
                <w:webHidden/>
              </w:rPr>
              <w:fldChar w:fldCharType="end"/>
            </w:r>
          </w:hyperlink>
        </w:p>
        <w:p w14:paraId="7748C48E" w14:textId="77777777" w:rsidR="007002BC" w:rsidRDefault="009527CC">
          <w:pPr>
            <w:pStyle w:val="TOC2"/>
            <w:tabs>
              <w:tab w:val="right" w:leader="dot" w:pos="9350"/>
            </w:tabs>
            <w:rPr>
              <w:rFonts w:eastAsiaTheme="minorEastAsia"/>
              <w:noProof/>
              <w:lang w:eastAsia="hr-HR"/>
            </w:rPr>
          </w:pPr>
          <w:hyperlink w:anchor="_Toc4076871" w:history="1">
            <w:r w:rsidR="007002BC" w:rsidRPr="00CA0981">
              <w:rPr>
                <w:rStyle w:val="Hyperlink"/>
                <w:noProof/>
              </w:rPr>
              <w:t>4.2. Sastav radnih skupina</w:t>
            </w:r>
            <w:r w:rsidR="007002BC">
              <w:rPr>
                <w:noProof/>
                <w:webHidden/>
              </w:rPr>
              <w:tab/>
            </w:r>
            <w:r w:rsidR="007002BC">
              <w:rPr>
                <w:noProof/>
                <w:webHidden/>
              </w:rPr>
              <w:fldChar w:fldCharType="begin"/>
            </w:r>
            <w:r w:rsidR="007002BC">
              <w:rPr>
                <w:noProof/>
                <w:webHidden/>
              </w:rPr>
              <w:instrText xml:space="preserve"> PAGEREF _Toc4076871 \h </w:instrText>
            </w:r>
            <w:r w:rsidR="007002BC">
              <w:rPr>
                <w:noProof/>
                <w:webHidden/>
              </w:rPr>
            </w:r>
            <w:r w:rsidR="007002BC">
              <w:rPr>
                <w:noProof/>
                <w:webHidden/>
              </w:rPr>
              <w:fldChar w:fldCharType="separate"/>
            </w:r>
            <w:r w:rsidR="001A1509">
              <w:rPr>
                <w:noProof/>
                <w:webHidden/>
              </w:rPr>
              <w:t>12</w:t>
            </w:r>
            <w:r w:rsidR="007002BC">
              <w:rPr>
                <w:noProof/>
                <w:webHidden/>
              </w:rPr>
              <w:fldChar w:fldCharType="end"/>
            </w:r>
          </w:hyperlink>
        </w:p>
        <w:p w14:paraId="3DA97D4A" w14:textId="77777777" w:rsidR="007002BC" w:rsidRDefault="009527CC">
          <w:pPr>
            <w:pStyle w:val="TOC2"/>
            <w:tabs>
              <w:tab w:val="right" w:leader="dot" w:pos="9350"/>
            </w:tabs>
            <w:rPr>
              <w:rFonts w:eastAsiaTheme="minorEastAsia"/>
              <w:noProof/>
              <w:lang w:eastAsia="hr-HR"/>
            </w:rPr>
          </w:pPr>
          <w:hyperlink w:anchor="_Toc4076872" w:history="1">
            <w:r w:rsidR="007002BC" w:rsidRPr="00CA0981">
              <w:rPr>
                <w:rStyle w:val="Hyperlink"/>
                <w:noProof/>
              </w:rPr>
              <w:t>4.3. Metode savjetovanja</w:t>
            </w:r>
            <w:r w:rsidR="007002BC">
              <w:rPr>
                <w:noProof/>
                <w:webHidden/>
              </w:rPr>
              <w:tab/>
            </w:r>
            <w:r w:rsidR="007002BC">
              <w:rPr>
                <w:noProof/>
                <w:webHidden/>
              </w:rPr>
              <w:fldChar w:fldCharType="begin"/>
            </w:r>
            <w:r w:rsidR="007002BC">
              <w:rPr>
                <w:noProof/>
                <w:webHidden/>
              </w:rPr>
              <w:instrText xml:space="preserve"> PAGEREF _Toc4076872 \h </w:instrText>
            </w:r>
            <w:r w:rsidR="007002BC">
              <w:rPr>
                <w:noProof/>
                <w:webHidden/>
              </w:rPr>
            </w:r>
            <w:r w:rsidR="007002BC">
              <w:rPr>
                <w:noProof/>
                <w:webHidden/>
              </w:rPr>
              <w:fldChar w:fldCharType="separate"/>
            </w:r>
            <w:r w:rsidR="001A1509">
              <w:rPr>
                <w:noProof/>
                <w:webHidden/>
              </w:rPr>
              <w:t>13</w:t>
            </w:r>
            <w:r w:rsidR="007002BC">
              <w:rPr>
                <w:noProof/>
                <w:webHidden/>
              </w:rPr>
              <w:fldChar w:fldCharType="end"/>
            </w:r>
          </w:hyperlink>
        </w:p>
        <w:p w14:paraId="2A38438B" w14:textId="77777777" w:rsidR="007002BC" w:rsidRDefault="009527CC">
          <w:pPr>
            <w:pStyle w:val="TOC2"/>
            <w:tabs>
              <w:tab w:val="right" w:leader="dot" w:pos="9350"/>
            </w:tabs>
            <w:rPr>
              <w:rFonts w:eastAsiaTheme="minorEastAsia"/>
              <w:noProof/>
              <w:lang w:eastAsia="hr-HR"/>
            </w:rPr>
          </w:pPr>
          <w:hyperlink w:anchor="_Toc4076873" w:history="1">
            <w:r w:rsidR="007002BC" w:rsidRPr="00CA0981">
              <w:rPr>
                <w:rStyle w:val="Hyperlink"/>
                <w:noProof/>
              </w:rPr>
              <w:t>4.4. Trajanje savjetovanja</w:t>
            </w:r>
            <w:r w:rsidR="007002BC">
              <w:rPr>
                <w:noProof/>
                <w:webHidden/>
              </w:rPr>
              <w:tab/>
            </w:r>
            <w:r w:rsidR="007002BC">
              <w:rPr>
                <w:noProof/>
                <w:webHidden/>
              </w:rPr>
              <w:fldChar w:fldCharType="begin"/>
            </w:r>
            <w:r w:rsidR="007002BC">
              <w:rPr>
                <w:noProof/>
                <w:webHidden/>
              </w:rPr>
              <w:instrText xml:space="preserve"> PAGEREF _Toc4076873 \h </w:instrText>
            </w:r>
            <w:r w:rsidR="007002BC">
              <w:rPr>
                <w:noProof/>
                <w:webHidden/>
              </w:rPr>
            </w:r>
            <w:r w:rsidR="007002BC">
              <w:rPr>
                <w:noProof/>
                <w:webHidden/>
              </w:rPr>
              <w:fldChar w:fldCharType="separate"/>
            </w:r>
            <w:r w:rsidR="001A1509">
              <w:rPr>
                <w:noProof/>
                <w:webHidden/>
              </w:rPr>
              <w:t>14</w:t>
            </w:r>
            <w:r w:rsidR="007002BC">
              <w:rPr>
                <w:noProof/>
                <w:webHidden/>
              </w:rPr>
              <w:fldChar w:fldCharType="end"/>
            </w:r>
          </w:hyperlink>
        </w:p>
        <w:p w14:paraId="4B840629" w14:textId="77777777" w:rsidR="007002BC" w:rsidRDefault="009527CC">
          <w:pPr>
            <w:pStyle w:val="TOC2"/>
            <w:tabs>
              <w:tab w:val="right" w:leader="dot" w:pos="9350"/>
            </w:tabs>
            <w:rPr>
              <w:rFonts w:eastAsiaTheme="minorEastAsia"/>
              <w:noProof/>
              <w:lang w:eastAsia="hr-HR"/>
            </w:rPr>
          </w:pPr>
          <w:hyperlink w:anchor="_Toc4076874" w:history="1">
            <w:r w:rsidR="007002BC" w:rsidRPr="00CA0981">
              <w:rPr>
                <w:rStyle w:val="Hyperlink"/>
                <w:noProof/>
              </w:rPr>
              <w:t>4.5. Komparativna praksa trajanja savjetovanja u zemljama Europske unije</w:t>
            </w:r>
            <w:r w:rsidR="007002BC">
              <w:rPr>
                <w:noProof/>
                <w:webHidden/>
              </w:rPr>
              <w:tab/>
            </w:r>
            <w:r w:rsidR="007002BC">
              <w:rPr>
                <w:noProof/>
                <w:webHidden/>
              </w:rPr>
              <w:fldChar w:fldCharType="begin"/>
            </w:r>
            <w:r w:rsidR="007002BC">
              <w:rPr>
                <w:noProof/>
                <w:webHidden/>
              </w:rPr>
              <w:instrText xml:space="preserve"> PAGEREF _Toc4076874 \h </w:instrText>
            </w:r>
            <w:r w:rsidR="007002BC">
              <w:rPr>
                <w:noProof/>
                <w:webHidden/>
              </w:rPr>
            </w:r>
            <w:r w:rsidR="007002BC">
              <w:rPr>
                <w:noProof/>
                <w:webHidden/>
              </w:rPr>
              <w:fldChar w:fldCharType="separate"/>
            </w:r>
            <w:r w:rsidR="001A1509">
              <w:rPr>
                <w:noProof/>
                <w:webHidden/>
              </w:rPr>
              <w:t>16</w:t>
            </w:r>
            <w:r w:rsidR="007002BC">
              <w:rPr>
                <w:noProof/>
                <w:webHidden/>
              </w:rPr>
              <w:fldChar w:fldCharType="end"/>
            </w:r>
          </w:hyperlink>
        </w:p>
        <w:p w14:paraId="22ED247E" w14:textId="77777777" w:rsidR="007002BC" w:rsidRDefault="009527CC">
          <w:pPr>
            <w:pStyle w:val="TOC2"/>
            <w:tabs>
              <w:tab w:val="right" w:leader="dot" w:pos="9350"/>
            </w:tabs>
            <w:rPr>
              <w:rFonts w:eastAsiaTheme="minorEastAsia"/>
              <w:noProof/>
              <w:lang w:eastAsia="hr-HR"/>
            </w:rPr>
          </w:pPr>
          <w:hyperlink w:anchor="_Toc4076875" w:history="1">
            <w:r w:rsidR="007002BC" w:rsidRPr="00CA0981">
              <w:rPr>
                <w:rStyle w:val="Hyperlink"/>
                <w:noProof/>
              </w:rPr>
              <w:t>4.6. Podnositelji komentara</w:t>
            </w:r>
            <w:r w:rsidR="007002BC">
              <w:rPr>
                <w:noProof/>
                <w:webHidden/>
              </w:rPr>
              <w:tab/>
            </w:r>
            <w:r w:rsidR="007002BC">
              <w:rPr>
                <w:noProof/>
                <w:webHidden/>
              </w:rPr>
              <w:fldChar w:fldCharType="begin"/>
            </w:r>
            <w:r w:rsidR="007002BC">
              <w:rPr>
                <w:noProof/>
                <w:webHidden/>
              </w:rPr>
              <w:instrText xml:space="preserve"> PAGEREF _Toc4076875 \h </w:instrText>
            </w:r>
            <w:r w:rsidR="007002BC">
              <w:rPr>
                <w:noProof/>
                <w:webHidden/>
              </w:rPr>
            </w:r>
            <w:r w:rsidR="007002BC">
              <w:rPr>
                <w:noProof/>
                <w:webHidden/>
              </w:rPr>
              <w:fldChar w:fldCharType="separate"/>
            </w:r>
            <w:r w:rsidR="001A1509">
              <w:rPr>
                <w:noProof/>
                <w:webHidden/>
              </w:rPr>
              <w:t>16</w:t>
            </w:r>
            <w:r w:rsidR="007002BC">
              <w:rPr>
                <w:noProof/>
                <w:webHidden/>
              </w:rPr>
              <w:fldChar w:fldCharType="end"/>
            </w:r>
          </w:hyperlink>
        </w:p>
        <w:p w14:paraId="7E9DC831" w14:textId="77777777" w:rsidR="007002BC" w:rsidRDefault="009527CC">
          <w:pPr>
            <w:pStyle w:val="TOC2"/>
            <w:tabs>
              <w:tab w:val="right" w:leader="dot" w:pos="9350"/>
            </w:tabs>
            <w:rPr>
              <w:rFonts w:eastAsiaTheme="minorEastAsia"/>
              <w:noProof/>
              <w:lang w:eastAsia="hr-HR"/>
            </w:rPr>
          </w:pPr>
          <w:hyperlink w:anchor="_Toc4076876" w:history="1">
            <w:r w:rsidR="007002BC" w:rsidRPr="00CA0981">
              <w:rPr>
                <w:rStyle w:val="Hyperlink"/>
                <w:noProof/>
              </w:rPr>
              <w:t>4.7. Broj pristiglih komentara</w:t>
            </w:r>
            <w:r w:rsidR="007002BC">
              <w:rPr>
                <w:noProof/>
                <w:webHidden/>
              </w:rPr>
              <w:tab/>
            </w:r>
            <w:r w:rsidR="007002BC">
              <w:rPr>
                <w:noProof/>
                <w:webHidden/>
              </w:rPr>
              <w:fldChar w:fldCharType="begin"/>
            </w:r>
            <w:r w:rsidR="007002BC">
              <w:rPr>
                <w:noProof/>
                <w:webHidden/>
              </w:rPr>
              <w:instrText xml:space="preserve"> PAGEREF _Toc4076876 \h </w:instrText>
            </w:r>
            <w:r w:rsidR="007002BC">
              <w:rPr>
                <w:noProof/>
                <w:webHidden/>
              </w:rPr>
            </w:r>
            <w:r w:rsidR="007002BC">
              <w:rPr>
                <w:noProof/>
                <w:webHidden/>
              </w:rPr>
              <w:fldChar w:fldCharType="separate"/>
            </w:r>
            <w:r w:rsidR="001A1509">
              <w:rPr>
                <w:noProof/>
                <w:webHidden/>
              </w:rPr>
              <w:t>18</w:t>
            </w:r>
            <w:r w:rsidR="007002BC">
              <w:rPr>
                <w:noProof/>
                <w:webHidden/>
              </w:rPr>
              <w:fldChar w:fldCharType="end"/>
            </w:r>
          </w:hyperlink>
        </w:p>
        <w:p w14:paraId="0615F884" w14:textId="77777777" w:rsidR="007002BC" w:rsidRDefault="009527CC">
          <w:pPr>
            <w:pStyle w:val="TOC2"/>
            <w:tabs>
              <w:tab w:val="right" w:leader="dot" w:pos="9350"/>
            </w:tabs>
            <w:rPr>
              <w:rFonts w:eastAsiaTheme="minorEastAsia"/>
              <w:noProof/>
              <w:lang w:eastAsia="hr-HR"/>
            </w:rPr>
          </w:pPr>
          <w:hyperlink w:anchor="_Toc4076877" w:history="1">
            <w:r w:rsidR="007002BC" w:rsidRPr="00CA0981">
              <w:rPr>
                <w:rStyle w:val="Hyperlink"/>
                <w:noProof/>
              </w:rPr>
              <w:t>4.8. Izvješće o provedenom savjetovanju</w:t>
            </w:r>
            <w:r w:rsidR="007002BC">
              <w:rPr>
                <w:noProof/>
                <w:webHidden/>
              </w:rPr>
              <w:tab/>
            </w:r>
            <w:r w:rsidR="007002BC">
              <w:rPr>
                <w:noProof/>
                <w:webHidden/>
              </w:rPr>
              <w:fldChar w:fldCharType="begin"/>
            </w:r>
            <w:r w:rsidR="007002BC">
              <w:rPr>
                <w:noProof/>
                <w:webHidden/>
              </w:rPr>
              <w:instrText xml:space="preserve"> PAGEREF _Toc4076877 \h </w:instrText>
            </w:r>
            <w:r w:rsidR="007002BC">
              <w:rPr>
                <w:noProof/>
                <w:webHidden/>
              </w:rPr>
            </w:r>
            <w:r w:rsidR="007002BC">
              <w:rPr>
                <w:noProof/>
                <w:webHidden/>
              </w:rPr>
              <w:fldChar w:fldCharType="separate"/>
            </w:r>
            <w:r w:rsidR="001A1509">
              <w:rPr>
                <w:noProof/>
                <w:webHidden/>
              </w:rPr>
              <w:t>19</w:t>
            </w:r>
            <w:r w:rsidR="007002BC">
              <w:rPr>
                <w:noProof/>
                <w:webHidden/>
              </w:rPr>
              <w:fldChar w:fldCharType="end"/>
            </w:r>
          </w:hyperlink>
        </w:p>
        <w:p w14:paraId="13EB850C" w14:textId="77777777" w:rsidR="007002BC" w:rsidRDefault="009527CC">
          <w:pPr>
            <w:pStyle w:val="TOC1"/>
            <w:tabs>
              <w:tab w:val="right" w:leader="dot" w:pos="9350"/>
            </w:tabs>
            <w:rPr>
              <w:rFonts w:eastAsiaTheme="minorEastAsia"/>
              <w:noProof/>
              <w:lang w:eastAsia="hr-HR"/>
            </w:rPr>
          </w:pPr>
          <w:hyperlink w:anchor="_Toc4076878" w:history="1">
            <w:r w:rsidR="007002BC" w:rsidRPr="00CA0981">
              <w:rPr>
                <w:rStyle w:val="Hyperlink"/>
                <w:b/>
                <w:noProof/>
              </w:rPr>
              <w:t>5. DALJNJI RAZVOJ SAVJETOVANJA SA ZAINTERESIRANOM JAVNOŠĆU U 2019. GODINI</w:t>
            </w:r>
            <w:r w:rsidR="007002BC">
              <w:rPr>
                <w:noProof/>
                <w:webHidden/>
              </w:rPr>
              <w:tab/>
            </w:r>
            <w:r w:rsidR="007002BC">
              <w:rPr>
                <w:noProof/>
                <w:webHidden/>
              </w:rPr>
              <w:fldChar w:fldCharType="begin"/>
            </w:r>
            <w:r w:rsidR="007002BC">
              <w:rPr>
                <w:noProof/>
                <w:webHidden/>
              </w:rPr>
              <w:instrText xml:space="preserve"> PAGEREF _Toc4076878 \h </w:instrText>
            </w:r>
            <w:r w:rsidR="007002BC">
              <w:rPr>
                <w:noProof/>
                <w:webHidden/>
              </w:rPr>
            </w:r>
            <w:r w:rsidR="007002BC">
              <w:rPr>
                <w:noProof/>
                <w:webHidden/>
              </w:rPr>
              <w:fldChar w:fldCharType="separate"/>
            </w:r>
            <w:r w:rsidR="001A1509">
              <w:rPr>
                <w:noProof/>
                <w:webHidden/>
              </w:rPr>
              <w:t>20</w:t>
            </w:r>
            <w:r w:rsidR="007002BC">
              <w:rPr>
                <w:noProof/>
                <w:webHidden/>
              </w:rPr>
              <w:fldChar w:fldCharType="end"/>
            </w:r>
          </w:hyperlink>
        </w:p>
        <w:p w14:paraId="4D5BCD76" w14:textId="77777777" w:rsidR="007002BC" w:rsidRDefault="009527CC">
          <w:pPr>
            <w:pStyle w:val="TOC1"/>
            <w:tabs>
              <w:tab w:val="right" w:leader="dot" w:pos="9350"/>
            </w:tabs>
            <w:rPr>
              <w:rFonts w:eastAsiaTheme="minorEastAsia"/>
              <w:noProof/>
              <w:lang w:eastAsia="hr-HR"/>
            </w:rPr>
          </w:pPr>
          <w:hyperlink w:anchor="_Toc4076879" w:history="1">
            <w:r w:rsidR="007002BC" w:rsidRPr="00CA0981">
              <w:rPr>
                <w:rStyle w:val="Hyperlink"/>
                <w:b/>
                <w:noProof/>
              </w:rPr>
              <w:t>6. ZAKLJUČNA RAZMATRANJA</w:t>
            </w:r>
            <w:r w:rsidR="007002BC">
              <w:rPr>
                <w:noProof/>
                <w:webHidden/>
              </w:rPr>
              <w:tab/>
            </w:r>
            <w:r w:rsidR="007002BC">
              <w:rPr>
                <w:noProof/>
                <w:webHidden/>
              </w:rPr>
              <w:fldChar w:fldCharType="begin"/>
            </w:r>
            <w:r w:rsidR="007002BC">
              <w:rPr>
                <w:noProof/>
                <w:webHidden/>
              </w:rPr>
              <w:instrText xml:space="preserve"> PAGEREF _Toc4076879 \h </w:instrText>
            </w:r>
            <w:r w:rsidR="007002BC">
              <w:rPr>
                <w:noProof/>
                <w:webHidden/>
              </w:rPr>
            </w:r>
            <w:r w:rsidR="007002BC">
              <w:rPr>
                <w:noProof/>
                <w:webHidden/>
              </w:rPr>
              <w:fldChar w:fldCharType="separate"/>
            </w:r>
            <w:r w:rsidR="001A1509">
              <w:rPr>
                <w:noProof/>
                <w:webHidden/>
              </w:rPr>
              <w:t>21</w:t>
            </w:r>
            <w:r w:rsidR="007002BC">
              <w:rPr>
                <w:noProof/>
                <w:webHidden/>
              </w:rPr>
              <w:fldChar w:fldCharType="end"/>
            </w:r>
          </w:hyperlink>
        </w:p>
        <w:p w14:paraId="55E6193C" w14:textId="77777777" w:rsidR="007002BC" w:rsidRDefault="009527CC">
          <w:pPr>
            <w:pStyle w:val="TOC2"/>
            <w:tabs>
              <w:tab w:val="right" w:leader="dot" w:pos="9350"/>
            </w:tabs>
            <w:rPr>
              <w:rFonts w:eastAsiaTheme="minorEastAsia"/>
              <w:noProof/>
              <w:lang w:eastAsia="hr-HR"/>
            </w:rPr>
          </w:pPr>
          <w:hyperlink w:anchor="_Toc4076880" w:history="1">
            <w:r w:rsidR="007002BC" w:rsidRPr="00CA0981">
              <w:rPr>
                <w:rStyle w:val="Hyperlink"/>
                <w:noProof/>
              </w:rPr>
              <w:t>Prilog 1.: Pregled provedenih savjetovanja o nacrtima zakona, drugih propisa i akata prema državnim tijelima</w:t>
            </w:r>
            <w:r w:rsidR="007002BC">
              <w:rPr>
                <w:noProof/>
                <w:webHidden/>
              </w:rPr>
              <w:tab/>
            </w:r>
            <w:r w:rsidR="007002BC">
              <w:rPr>
                <w:noProof/>
                <w:webHidden/>
              </w:rPr>
              <w:fldChar w:fldCharType="begin"/>
            </w:r>
            <w:r w:rsidR="007002BC">
              <w:rPr>
                <w:noProof/>
                <w:webHidden/>
              </w:rPr>
              <w:instrText xml:space="preserve"> PAGEREF _Toc4076880 \h </w:instrText>
            </w:r>
            <w:r w:rsidR="007002BC">
              <w:rPr>
                <w:noProof/>
                <w:webHidden/>
              </w:rPr>
            </w:r>
            <w:r w:rsidR="007002BC">
              <w:rPr>
                <w:noProof/>
                <w:webHidden/>
              </w:rPr>
              <w:fldChar w:fldCharType="separate"/>
            </w:r>
            <w:r w:rsidR="001A1509">
              <w:rPr>
                <w:noProof/>
                <w:webHidden/>
              </w:rPr>
              <w:t>22</w:t>
            </w:r>
            <w:r w:rsidR="007002BC">
              <w:rPr>
                <w:noProof/>
                <w:webHidden/>
              </w:rPr>
              <w:fldChar w:fldCharType="end"/>
            </w:r>
          </w:hyperlink>
        </w:p>
        <w:p w14:paraId="22754E9D" w14:textId="77777777" w:rsidR="005C2B7D" w:rsidRDefault="005C2B7D">
          <w:r w:rsidRPr="008F5BEE">
            <w:rPr>
              <w:rFonts w:ascii="Cambria" w:hAnsi="Cambria"/>
              <w:b/>
              <w:bCs/>
              <w:noProof/>
              <w:color w:val="0070C0"/>
              <w:sz w:val="28"/>
              <w:szCs w:val="28"/>
            </w:rPr>
            <w:fldChar w:fldCharType="end"/>
          </w:r>
        </w:p>
      </w:sdtContent>
    </w:sdt>
    <w:p w14:paraId="0955A079" w14:textId="77777777" w:rsidR="008028F8" w:rsidRPr="00AB758C" w:rsidRDefault="008028F8">
      <w:pPr>
        <w:rPr>
          <w:rFonts w:ascii="Cambria" w:hAnsi="Cambria"/>
          <w:sz w:val="24"/>
          <w:szCs w:val="24"/>
        </w:rPr>
      </w:pPr>
    </w:p>
    <w:p w14:paraId="34FA07B7" w14:textId="77777777" w:rsidR="008028F8" w:rsidRPr="00AB758C" w:rsidRDefault="008028F8">
      <w:pPr>
        <w:rPr>
          <w:rFonts w:ascii="Cambria" w:hAnsi="Cambria"/>
          <w:sz w:val="24"/>
          <w:szCs w:val="24"/>
        </w:rPr>
      </w:pPr>
    </w:p>
    <w:p w14:paraId="7706D570" w14:textId="77777777" w:rsidR="008028F8" w:rsidRPr="00AB758C" w:rsidRDefault="008028F8">
      <w:pPr>
        <w:rPr>
          <w:rFonts w:ascii="Cambria" w:hAnsi="Cambria"/>
          <w:sz w:val="24"/>
          <w:szCs w:val="24"/>
        </w:rPr>
      </w:pPr>
    </w:p>
    <w:p w14:paraId="5C372159" w14:textId="77777777" w:rsidR="008028F8" w:rsidRDefault="008028F8">
      <w:pPr>
        <w:rPr>
          <w:rFonts w:ascii="Cambria" w:hAnsi="Cambria"/>
          <w:sz w:val="24"/>
          <w:szCs w:val="24"/>
        </w:rPr>
      </w:pPr>
    </w:p>
    <w:p w14:paraId="1A4590BC" w14:textId="77777777" w:rsidR="00463292" w:rsidRDefault="00463292">
      <w:pPr>
        <w:rPr>
          <w:rFonts w:ascii="Cambria" w:hAnsi="Cambria"/>
          <w:sz w:val="24"/>
          <w:szCs w:val="24"/>
        </w:rPr>
      </w:pPr>
    </w:p>
    <w:p w14:paraId="79CE2FEB" w14:textId="77777777" w:rsidR="00463292" w:rsidRPr="00AB758C" w:rsidRDefault="00463292">
      <w:pPr>
        <w:rPr>
          <w:rFonts w:ascii="Cambria" w:hAnsi="Cambria"/>
          <w:sz w:val="24"/>
          <w:szCs w:val="24"/>
        </w:rPr>
      </w:pPr>
    </w:p>
    <w:p w14:paraId="4A073051" w14:textId="77777777" w:rsidR="008028F8" w:rsidRDefault="008028F8">
      <w:pPr>
        <w:rPr>
          <w:rFonts w:ascii="Cambria" w:hAnsi="Cambria"/>
          <w:sz w:val="24"/>
          <w:szCs w:val="24"/>
        </w:rPr>
      </w:pPr>
    </w:p>
    <w:p w14:paraId="10D57D3A" w14:textId="77777777" w:rsidR="000B4AB7" w:rsidRDefault="000B4AB7">
      <w:pPr>
        <w:rPr>
          <w:rFonts w:ascii="Cambria" w:hAnsi="Cambria"/>
          <w:sz w:val="24"/>
          <w:szCs w:val="24"/>
        </w:rPr>
      </w:pPr>
    </w:p>
    <w:p w14:paraId="6540391E" w14:textId="77777777" w:rsidR="008028F8" w:rsidRDefault="00EC220C" w:rsidP="00015400">
      <w:pPr>
        <w:pStyle w:val="Heading1"/>
        <w:rPr>
          <w:b/>
        </w:rPr>
      </w:pPr>
      <w:bookmarkStart w:id="4" w:name="_Toc4076863"/>
      <w:r w:rsidRPr="00015400">
        <w:rPr>
          <w:b/>
        </w:rPr>
        <w:lastRenderedPageBreak/>
        <w:t>1) UVOD</w:t>
      </w:r>
      <w:bookmarkEnd w:id="4"/>
    </w:p>
    <w:p w14:paraId="6BDC10CF" w14:textId="77777777" w:rsidR="000B4AB7" w:rsidRPr="000B4AB7" w:rsidRDefault="000B4AB7" w:rsidP="000B4AB7"/>
    <w:p w14:paraId="747DB807" w14:textId="0896E459" w:rsidR="00EC220C" w:rsidRPr="00AB758C" w:rsidRDefault="00EC220C" w:rsidP="00F27FDD">
      <w:pPr>
        <w:jc w:val="both"/>
        <w:rPr>
          <w:rFonts w:ascii="Cambria" w:hAnsi="Cambria"/>
          <w:bCs/>
          <w:sz w:val="24"/>
          <w:szCs w:val="24"/>
        </w:rPr>
      </w:pPr>
      <w:r w:rsidRPr="00AB758C">
        <w:rPr>
          <w:rFonts w:ascii="Cambria" w:hAnsi="Cambria"/>
          <w:bCs/>
          <w:sz w:val="24"/>
          <w:szCs w:val="24"/>
        </w:rPr>
        <w:t xml:space="preserve">Savjetovanje sa zainteresiranom javnošću u postupcima donošenja zakona, drugih propisa i akata neizostavni je dio suvremenog, demokratskog procesa upravljanja javnim politikama, ali i jedan od ključnih koraka u jačanju otvorenosti, odgovornosti i djelotvornosti rada državnih tijela. </w:t>
      </w:r>
      <w:r w:rsidR="00F27FDD" w:rsidRPr="00F27FDD">
        <w:rPr>
          <w:rFonts w:ascii="Cambria" w:hAnsi="Cambria"/>
          <w:bCs/>
          <w:sz w:val="24"/>
          <w:szCs w:val="24"/>
        </w:rPr>
        <w:t xml:space="preserve">Sudjelovanje javnosti </w:t>
      </w:r>
      <w:r w:rsidR="00F27FDD">
        <w:rPr>
          <w:rFonts w:ascii="Cambria" w:hAnsi="Cambria"/>
          <w:bCs/>
          <w:sz w:val="24"/>
          <w:szCs w:val="24"/>
        </w:rPr>
        <w:t>u oblikovanju javnih politika</w:t>
      </w:r>
      <w:r w:rsidR="00F27FDD" w:rsidRPr="00F27FDD">
        <w:rPr>
          <w:rFonts w:ascii="Cambria" w:hAnsi="Cambria"/>
          <w:bCs/>
          <w:sz w:val="24"/>
          <w:szCs w:val="24"/>
        </w:rPr>
        <w:t xml:space="preserve"> temelj</w:t>
      </w:r>
      <w:r w:rsidR="00F27FDD">
        <w:rPr>
          <w:rFonts w:ascii="Cambria" w:hAnsi="Cambria"/>
          <w:bCs/>
          <w:sz w:val="24"/>
          <w:szCs w:val="24"/>
        </w:rPr>
        <w:t xml:space="preserve"> je</w:t>
      </w:r>
      <w:r w:rsidR="00F27FDD" w:rsidRPr="00F27FDD">
        <w:rPr>
          <w:rFonts w:ascii="Cambria" w:hAnsi="Cambria"/>
          <w:bCs/>
          <w:sz w:val="24"/>
          <w:szCs w:val="24"/>
        </w:rPr>
        <w:t xml:space="preserve"> dobrog upravljanja, bolje kvalitete propisa, veće transparentnosti i smanjenja prostora za korupciju</w:t>
      </w:r>
      <w:r w:rsidR="00F27FDD">
        <w:rPr>
          <w:rFonts w:ascii="Cambria" w:hAnsi="Cambria"/>
          <w:bCs/>
          <w:sz w:val="24"/>
          <w:szCs w:val="24"/>
        </w:rPr>
        <w:t xml:space="preserve"> te p</w:t>
      </w:r>
      <w:r w:rsidR="00F27FDD" w:rsidRPr="00F27FDD">
        <w:rPr>
          <w:rFonts w:ascii="Cambria" w:hAnsi="Cambria"/>
          <w:bCs/>
          <w:sz w:val="24"/>
          <w:szCs w:val="24"/>
        </w:rPr>
        <w:t>ut prema boljem okruženju za održivi gospodarski i društveni razvoj</w:t>
      </w:r>
      <w:r w:rsidR="00F27FDD">
        <w:rPr>
          <w:rStyle w:val="FootnoteReference"/>
          <w:rFonts w:ascii="Cambria" w:hAnsi="Cambria"/>
          <w:bCs/>
          <w:sz w:val="24"/>
          <w:szCs w:val="24"/>
        </w:rPr>
        <w:footnoteReference w:id="1"/>
      </w:r>
      <w:r w:rsidR="00F27FDD">
        <w:rPr>
          <w:rFonts w:ascii="Cambria" w:hAnsi="Cambria"/>
          <w:bCs/>
          <w:sz w:val="24"/>
          <w:szCs w:val="24"/>
        </w:rPr>
        <w:t>.</w:t>
      </w:r>
      <w:r w:rsidR="00F27FDD" w:rsidRPr="00F27FDD">
        <w:rPr>
          <w:rFonts w:ascii="Cambria" w:hAnsi="Cambria"/>
          <w:bCs/>
          <w:sz w:val="24"/>
          <w:szCs w:val="24"/>
        </w:rPr>
        <w:t xml:space="preserve"> </w:t>
      </w:r>
      <w:r w:rsidRPr="00AB758C">
        <w:rPr>
          <w:rFonts w:ascii="Cambria" w:hAnsi="Cambria"/>
          <w:bCs/>
          <w:sz w:val="24"/>
          <w:szCs w:val="24"/>
        </w:rPr>
        <w:t>Postupno otvaranje prostora za kontinuirani dijalog državnih tijela sa zainteresiranom javnošću u procesima stvaranja, provedbe i vrednovanja javnih politika nosi potencijal za višestruke pozitivne učinke za kvalitetu odlučivanja, kao i za jačanje povjerenja građana u rad tijela javne vlasti.</w:t>
      </w:r>
    </w:p>
    <w:p w14:paraId="1609D4DD" w14:textId="5BDB4506" w:rsidR="00AE0891" w:rsidRPr="00AB758C" w:rsidRDefault="00C532E6" w:rsidP="00AE0891">
      <w:pPr>
        <w:jc w:val="both"/>
        <w:rPr>
          <w:rFonts w:ascii="Cambria" w:hAnsi="Cambria"/>
          <w:bCs/>
          <w:sz w:val="24"/>
          <w:szCs w:val="24"/>
        </w:rPr>
      </w:pPr>
      <w:r w:rsidRPr="00AB758C">
        <w:rPr>
          <w:rFonts w:ascii="Cambria" w:hAnsi="Cambria"/>
          <w:bCs/>
          <w:sz w:val="24"/>
          <w:szCs w:val="24"/>
        </w:rPr>
        <w:t>Uključivanje građana u procese kreiranja i oblikovanja javnih politika relativno je nov koncept koji se počeo razvijati u posljednjih dvadesetak godina.</w:t>
      </w:r>
    </w:p>
    <w:p w14:paraId="1237E08E" w14:textId="77080E94" w:rsidR="00480A92" w:rsidRPr="00AB758C" w:rsidRDefault="004A3B4C" w:rsidP="00C532E6">
      <w:pPr>
        <w:jc w:val="both"/>
        <w:rPr>
          <w:rFonts w:ascii="Cambria" w:hAnsi="Cambria"/>
          <w:sz w:val="24"/>
          <w:szCs w:val="24"/>
        </w:rPr>
      </w:pPr>
      <w:r w:rsidRPr="00AB758C">
        <w:rPr>
          <w:rFonts w:ascii="Cambria" w:hAnsi="Cambria"/>
          <w:sz w:val="24"/>
          <w:szCs w:val="24"/>
        </w:rPr>
        <w:t>J</w:t>
      </w:r>
      <w:r w:rsidR="00C532E6" w:rsidRPr="00AB758C">
        <w:rPr>
          <w:rFonts w:ascii="Cambria" w:hAnsi="Cambria"/>
          <w:sz w:val="24"/>
          <w:szCs w:val="24"/>
        </w:rPr>
        <w:t>avn</w:t>
      </w:r>
      <w:r w:rsidRPr="00AB758C">
        <w:rPr>
          <w:rFonts w:ascii="Cambria" w:hAnsi="Cambria"/>
          <w:sz w:val="24"/>
          <w:szCs w:val="24"/>
        </w:rPr>
        <w:t>a</w:t>
      </w:r>
      <w:r w:rsidR="00C532E6" w:rsidRPr="00AB758C">
        <w:rPr>
          <w:rFonts w:ascii="Cambria" w:hAnsi="Cambria"/>
          <w:sz w:val="24"/>
          <w:szCs w:val="24"/>
        </w:rPr>
        <w:t xml:space="preserve"> savjetovanj</w:t>
      </w:r>
      <w:r w:rsidRPr="00AB758C">
        <w:rPr>
          <w:rFonts w:ascii="Cambria" w:hAnsi="Cambria"/>
          <w:sz w:val="24"/>
          <w:szCs w:val="24"/>
        </w:rPr>
        <w:t>a</w:t>
      </w:r>
      <w:r w:rsidR="00C532E6" w:rsidRPr="00AB758C">
        <w:rPr>
          <w:rFonts w:ascii="Cambria" w:hAnsi="Cambria"/>
          <w:sz w:val="24"/>
          <w:szCs w:val="24"/>
        </w:rPr>
        <w:t xml:space="preserve"> neizostavan </w:t>
      </w:r>
      <w:r w:rsidRPr="00AB758C">
        <w:rPr>
          <w:rFonts w:ascii="Cambria" w:hAnsi="Cambria"/>
          <w:sz w:val="24"/>
          <w:szCs w:val="24"/>
        </w:rPr>
        <w:t xml:space="preserve">su </w:t>
      </w:r>
      <w:r w:rsidR="00C532E6" w:rsidRPr="00AB758C">
        <w:rPr>
          <w:rFonts w:ascii="Cambria" w:hAnsi="Cambria"/>
          <w:sz w:val="24"/>
          <w:szCs w:val="24"/>
        </w:rPr>
        <w:t>dio postupka donošenja propisa i kreiranja javnih politika</w:t>
      </w:r>
      <w:r w:rsidRPr="00AB758C">
        <w:rPr>
          <w:rFonts w:ascii="Cambria" w:hAnsi="Cambria"/>
          <w:sz w:val="24"/>
          <w:szCs w:val="24"/>
        </w:rPr>
        <w:t xml:space="preserve"> i na razini Europske unije.</w:t>
      </w:r>
      <w:r w:rsidR="00C532E6" w:rsidRPr="00AB758C">
        <w:rPr>
          <w:rFonts w:ascii="Cambria" w:hAnsi="Cambria"/>
          <w:sz w:val="24"/>
          <w:szCs w:val="24"/>
        </w:rPr>
        <w:t xml:space="preserve"> </w:t>
      </w:r>
      <w:r w:rsidR="00480A92" w:rsidRPr="00AB758C">
        <w:rPr>
          <w:rFonts w:ascii="Cambria" w:hAnsi="Cambria"/>
          <w:sz w:val="24"/>
          <w:szCs w:val="24"/>
        </w:rPr>
        <w:t>Europska unija svojim je temeljnim aktima (</w:t>
      </w:r>
      <w:r w:rsidR="00AE0891" w:rsidRPr="00AB758C">
        <w:rPr>
          <w:rFonts w:ascii="Cambria" w:hAnsi="Cambria"/>
          <w:sz w:val="24"/>
          <w:szCs w:val="24"/>
        </w:rPr>
        <w:t>Ugovor</w:t>
      </w:r>
      <w:r w:rsidR="00480A92" w:rsidRPr="00AB758C">
        <w:rPr>
          <w:rFonts w:ascii="Cambria" w:hAnsi="Cambria"/>
          <w:sz w:val="24"/>
          <w:szCs w:val="24"/>
        </w:rPr>
        <w:t xml:space="preserve"> o Europskoj uniji</w:t>
      </w:r>
      <w:r w:rsidR="00AE0891" w:rsidRPr="00AB758C">
        <w:rPr>
          <w:rFonts w:ascii="Cambria" w:hAnsi="Cambria"/>
          <w:sz w:val="24"/>
          <w:szCs w:val="24"/>
        </w:rPr>
        <w:t>, članak 11.</w:t>
      </w:r>
      <w:r w:rsidR="00480A92" w:rsidRPr="00AB758C">
        <w:rPr>
          <w:rFonts w:ascii="Cambria" w:hAnsi="Cambria"/>
          <w:sz w:val="24"/>
          <w:szCs w:val="24"/>
        </w:rPr>
        <w:t>) propisala</w:t>
      </w:r>
      <w:r w:rsidR="00AE0891" w:rsidRPr="00AB758C">
        <w:rPr>
          <w:rFonts w:ascii="Cambria" w:hAnsi="Cambria"/>
          <w:sz w:val="24"/>
          <w:szCs w:val="24"/>
        </w:rPr>
        <w:t xml:space="preserve"> obvezu uključivanja građana i civilnoga društva u procese kreiranja javnih politika. </w:t>
      </w:r>
      <w:r w:rsidR="00C532E6" w:rsidRPr="00AB758C">
        <w:rPr>
          <w:rFonts w:ascii="Cambria" w:hAnsi="Cambria"/>
          <w:sz w:val="24"/>
          <w:szCs w:val="24"/>
        </w:rPr>
        <w:t>Ugovorom</w:t>
      </w:r>
      <w:r w:rsidR="00AE0891" w:rsidRPr="00AB758C">
        <w:rPr>
          <w:rFonts w:ascii="Cambria" w:hAnsi="Cambria"/>
          <w:sz w:val="24"/>
          <w:szCs w:val="24"/>
        </w:rPr>
        <w:t xml:space="preserve"> je definirano da institucije Europske unije trebaju</w:t>
      </w:r>
      <w:r w:rsidR="00480A92" w:rsidRPr="00AB758C">
        <w:rPr>
          <w:rFonts w:ascii="Cambria" w:hAnsi="Cambria"/>
          <w:sz w:val="24"/>
          <w:szCs w:val="24"/>
        </w:rPr>
        <w:t xml:space="preserve"> na odgovarajući način omoguć</w:t>
      </w:r>
      <w:r w:rsidR="00AE0891" w:rsidRPr="00AB758C">
        <w:rPr>
          <w:rFonts w:ascii="Cambria" w:hAnsi="Cambria"/>
          <w:sz w:val="24"/>
          <w:szCs w:val="24"/>
        </w:rPr>
        <w:t>iti zainteresiranoj javnosti</w:t>
      </w:r>
      <w:r w:rsidR="00480A92" w:rsidRPr="00AB758C">
        <w:rPr>
          <w:rFonts w:ascii="Cambria" w:hAnsi="Cambria"/>
          <w:sz w:val="24"/>
          <w:szCs w:val="24"/>
        </w:rPr>
        <w:t xml:space="preserve"> da objave i javno razmijene svoje</w:t>
      </w:r>
      <w:r w:rsidR="00AE0891" w:rsidRPr="00AB758C">
        <w:rPr>
          <w:rFonts w:ascii="Cambria" w:hAnsi="Cambria"/>
          <w:sz w:val="24"/>
          <w:szCs w:val="24"/>
        </w:rPr>
        <w:t xml:space="preserve"> </w:t>
      </w:r>
      <w:r w:rsidR="00480A92" w:rsidRPr="00AB758C">
        <w:rPr>
          <w:rFonts w:ascii="Cambria" w:hAnsi="Cambria"/>
          <w:sz w:val="24"/>
          <w:szCs w:val="24"/>
        </w:rPr>
        <w:t>stavove o svim područjima djelovanja Unije te kako institucije održavaju otvoren, transparentan i redovit</w:t>
      </w:r>
      <w:r w:rsidR="00AE0891" w:rsidRPr="00AB758C">
        <w:rPr>
          <w:rFonts w:ascii="Cambria" w:hAnsi="Cambria"/>
          <w:sz w:val="24"/>
          <w:szCs w:val="24"/>
        </w:rPr>
        <w:t xml:space="preserve"> </w:t>
      </w:r>
      <w:r w:rsidR="00480A92" w:rsidRPr="00AB758C">
        <w:rPr>
          <w:rFonts w:ascii="Cambria" w:hAnsi="Cambria"/>
          <w:sz w:val="24"/>
          <w:szCs w:val="24"/>
        </w:rPr>
        <w:t>dijalog s predstavničk</w:t>
      </w:r>
      <w:r w:rsidR="004D08A7" w:rsidRPr="00AB758C">
        <w:rPr>
          <w:rFonts w:ascii="Cambria" w:hAnsi="Cambria"/>
          <w:sz w:val="24"/>
          <w:szCs w:val="24"/>
        </w:rPr>
        <w:t>im udrugama i civilnim društvom</w:t>
      </w:r>
      <w:r w:rsidR="00480A92" w:rsidRPr="00AB758C">
        <w:rPr>
          <w:rFonts w:ascii="Cambria" w:hAnsi="Cambria"/>
          <w:sz w:val="24"/>
          <w:szCs w:val="24"/>
        </w:rPr>
        <w:t xml:space="preserve"> Unije</w:t>
      </w:r>
      <w:r w:rsidR="00C532E6" w:rsidRPr="00AB758C">
        <w:rPr>
          <w:rFonts w:ascii="Cambria" w:hAnsi="Cambria"/>
          <w:sz w:val="24"/>
          <w:szCs w:val="24"/>
        </w:rPr>
        <w:t>.</w:t>
      </w:r>
    </w:p>
    <w:p w14:paraId="04AE58E5" w14:textId="5C1C057A" w:rsidR="00D64A5F" w:rsidRPr="00AB758C" w:rsidRDefault="00D64A5F" w:rsidP="00C532E6">
      <w:pPr>
        <w:jc w:val="both"/>
        <w:rPr>
          <w:rFonts w:ascii="Cambria" w:hAnsi="Cambria"/>
          <w:sz w:val="24"/>
          <w:szCs w:val="24"/>
        </w:rPr>
      </w:pPr>
      <w:r w:rsidRPr="00AB758C">
        <w:rPr>
          <w:rFonts w:ascii="Cambria" w:hAnsi="Cambria"/>
          <w:sz w:val="24"/>
          <w:szCs w:val="24"/>
        </w:rPr>
        <w:t xml:space="preserve">U Hrvatskoj </w:t>
      </w:r>
      <w:r w:rsidR="004A3B4C" w:rsidRPr="00AB758C">
        <w:rPr>
          <w:rFonts w:ascii="Cambria" w:hAnsi="Cambria"/>
          <w:sz w:val="24"/>
          <w:szCs w:val="24"/>
        </w:rPr>
        <w:t xml:space="preserve">se sustav savjetovanja s zainteresiranom javnošću razvija </w:t>
      </w:r>
      <w:r w:rsidRPr="00AB758C">
        <w:rPr>
          <w:rFonts w:ascii="Cambria" w:hAnsi="Cambria"/>
          <w:sz w:val="24"/>
          <w:szCs w:val="24"/>
        </w:rPr>
        <w:t>od 2009.</w:t>
      </w:r>
      <w:r w:rsidR="006F25B8">
        <w:rPr>
          <w:rFonts w:ascii="Cambria" w:hAnsi="Cambria"/>
          <w:sz w:val="24"/>
          <w:szCs w:val="24"/>
        </w:rPr>
        <w:t>,</w:t>
      </w:r>
      <w:r w:rsidR="004D08A7" w:rsidRPr="00AB758C">
        <w:rPr>
          <w:rFonts w:ascii="Cambria" w:hAnsi="Cambria"/>
          <w:sz w:val="24"/>
          <w:szCs w:val="24"/>
        </w:rPr>
        <w:t xml:space="preserve"> pri čemu je</w:t>
      </w:r>
      <w:r w:rsidRPr="00AB758C">
        <w:rPr>
          <w:rFonts w:ascii="Cambria" w:hAnsi="Cambria"/>
          <w:sz w:val="24"/>
          <w:szCs w:val="24"/>
        </w:rPr>
        <w:t xml:space="preserve"> </w:t>
      </w:r>
      <w:r w:rsidR="004D08A7" w:rsidRPr="00AB758C">
        <w:rPr>
          <w:rFonts w:ascii="Cambria" w:hAnsi="Cambria"/>
          <w:sz w:val="24"/>
          <w:szCs w:val="24"/>
        </w:rPr>
        <w:t xml:space="preserve">strateško usmjerenje razvoja sustava savjetovanja definirano </w:t>
      </w:r>
      <w:r w:rsidR="00093A1C" w:rsidRPr="00AB758C">
        <w:rPr>
          <w:rFonts w:ascii="Cambria" w:hAnsi="Cambria"/>
          <w:sz w:val="24"/>
          <w:szCs w:val="24"/>
        </w:rPr>
        <w:t>Nacionaln</w:t>
      </w:r>
      <w:r w:rsidR="004D08A7" w:rsidRPr="00AB758C">
        <w:rPr>
          <w:rFonts w:ascii="Cambria" w:hAnsi="Cambria"/>
          <w:sz w:val="24"/>
          <w:szCs w:val="24"/>
        </w:rPr>
        <w:t>om</w:t>
      </w:r>
      <w:r w:rsidR="00093A1C" w:rsidRPr="00AB758C">
        <w:rPr>
          <w:rFonts w:ascii="Cambria" w:hAnsi="Cambria"/>
          <w:sz w:val="24"/>
          <w:szCs w:val="24"/>
        </w:rPr>
        <w:t xml:space="preserve"> strategij</w:t>
      </w:r>
      <w:r w:rsidR="004D08A7" w:rsidRPr="00AB758C">
        <w:rPr>
          <w:rFonts w:ascii="Cambria" w:hAnsi="Cambria"/>
          <w:sz w:val="24"/>
          <w:szCs w:val="24"/>
        </w:rPr>
        <w:t>om</w:t>
      </w:r>
      <w:r w:rsidR="00093A1C" w:rsidRPr="00AB758C">
        <w:rPr>
          <w:rFonts w:ascii="Cambria" w:hAnsi="Cambria"/>
          <w:sz w:val="24"/>
          <w:szCs w:val="24"/>
        </w:rPr>
        <w:t xml:space="preserve"> stvaranja poticajnog okruženja za razvoj civilnoga društva</w:t>
      </w:r>
      <w:r w:rsidR="009F774D">
        <w:rPr>
          <w:rFonts w:ascii="Cambria" w:hAnsi="Cambria"/>
          <w:sz w:val="24"/>
          <w:szCs w:val="24"/>
        </w:rPr>
        <w:t xml:space="preserve"> za razdoblje 2006. - 2011.</w:t>
      </w:r>
      <w:r w:rsidR="00093A1C" w:rsidRPr="00AB758C">
        <w:rPr>
          <w:rFonts w:ascii="Cambria" w:hAnsi="Cambria"/>
          <w:sz w:val="24"/>
          <w:szCs w:val="24"/>
        </w:rPr>
        <w:t xml:space="preserve"> </w:t>
      </w:r>
      <w:r w:rsidR="009F774D">
        <w:rPr>
          <w:rFonts w:ascii="Cambria" w:hAnsi="Cambria"/>
          <w:sz w:val="24"/>
          <w:szCs w:val="24"/>
        </w:rPr>
        <w:t xml:space="preserve">i 2012. - 2016. </w:t>
      </w:r>
      <w:r w:rsidR="00093A1C" w:rsidRPr="00AB758C">
        <w:rPr>
          <w:rFonts w:ascii="Cambria" w:hAnsi="Cambria"/>
          <w:sz w:val="24"/>
          <w:szCs w:val="24"/>
        </w:rPr>
        <w:t>te aktivnostima navedenima u Akcijskim planovima za provedbu inicijative Partnerstvo za otvorenu vlast u Republici Hrvatskoj</w:t>
      </w:r>
      <w:r w:rsidR="004D08A7" w:rsidRPr="00AB758C">
        <w:rPr>
          <w:rFonts w:ascii="Cambria" w:hAnsi="Cambria"/>
          <w:sz w:val="24"/>
          <w:szCs w:val="24"/>
        </w:rPr>
        <w:t>.</w:t>
      </w:r>
    </w:p>
    <w:p w14:paraId="2F94EA3C" w14:textId="77777777" w:rsidR="008028F8" w:rsidRPr="00AB758C" w:rsidRDefault="008028F8" w:rsidP="00E016E7">
      <w:pPr>
        <w:pStyle w:val="Heading2"/>
        <w:spacing w:after="120"/>
      </w:pPr>
      <w:bookmarkStart w:id="5" w:name="_Toc4076864"/>
      <w:r w:rsidRPr="00AB758C">
        <w:t>1.1. Zašto provoditi savjetovanja sa zainteresiranom javnošću?</w:t>
      </w:r>
      <w:bookmarkEnd w:id="5"/>
    </w:p>
    <w:p w14:paraId="7EEADD9B" w14:textId="0B243B5B" w:rsidR="00EC220C" w:rsidRPr="00AB758C" w:rsidRDefault="00EC220C" w:rsidP="00420D82">
      <w:pPr>
        <w:jc w:val="both"/>
        <w:rPr>
          <w:rFonts w:ascii="Cambria" w:hAnsi="Cambria"/>
          <w:sz w:val="24"/>
          <w:szCs w:val="24"/>
        </w:rPr>
      </w:pPr>
      <w:r w:rsidRPr="00AB758C">
        <w:rPr>
          <w:rFonts w:ascii="Cambria" w:hAnsi="Cambria"/>
          <w:sz w:val="24"/>
          <w:szCs w:val="24"/>
        </w:rPr>
        <w:t>Glavna svrha savjetovanja jest prikupljanje informacija o stavovima, prijedlozima i</w:t>
      </w:r>
      <w:r w:rsidR="00093A1C" w:rsidRPr="00AB758C">
        <w:rPr>
          <w:rFonts w:ascii="Cambria" w:hAnsi="Cambria"/>
          <w:sz w:val="24"/>
          <w:szCs w:val="24"/>
        </w:rPr>
        <w:t xml:space="preserve"> </w:t>
      </w:r>
      <w:r w:rsidRPr="00AB758C">
        <w:rPr>
          <w:rFonts w:ascii="Cambria" w:hAnsi="Cambria"/>
          <w:sz w:val="24"/>
          <w:szCs w:val="24"/>
        </w:rPr>
        <w:t>interesima</w:t>
      </w:r>
      <w:r w:rsidR="0001584B" w:rsidRPr="00AB758C">
        <w:rPr>
          <w:rFonts w:ascii="Cambria" w:hAnsi="Cambria"/>
          <w:sz w:val="24"/>
          <w:szCs w:val="24"/>
        </w:rPr>
        <w:t xml:space="preserve"> građana</w:t>
      </w:r>
      <w:r w:rsidRPr="00AB758C">
        <w:rPr>
          <w:rFonts w:ascii="Cambria" w:hAnsi="Cambria"/>
          <w:sz w:val="24"/>
          <w:szCs w:val="24"/>
        </w:rPr>
        <w:t xml:space="preserve"> vezanim uz određenu javnu politiku kako bi se podigla razina razumijevanja i</w:t>
      </w:r>
      <w:r w:rsidR="00093A1C" w:rsidRPr="00AB758C">
        <w:rPr>
          <w:rFonts w:ascii="Cambria" w:hAnsi="Cambria"/>
          <w:sz w:val="24"/>
          <w:szCs w:val="24"/>
        </w:rPr>
        <w:t xml:space="preserve"> </w:t>
      </w:r>
      <w:r w:rsidRPr="00AB758C">
        <w:rPr>
          <w:rFonts w:ascii="Cambria" w:hAnsi="Cambria"/>
          <w:sz w:val="24"/>
          <w:szCs w:val="24"/>
        </w:rPr>
        <w:t>prihvaćanja ciljeva politike, ali i radi uočavanja</w:t>
      </w:r>
      <w:r w:rsidR="00093A1C" w:rsidRPr="00AB758C">
        <w:rPr>
          <w:rFonts w:ascii="Cambria" w:hAnsi="Cambria"/>
          <w:sz w:val="24"/>
          <w:szCs w:val="24"/>
        </w:rPr>
        <w:t xml:space="preserve"> </w:t>
      </w:r>
      <w:r w:rsidRPr="00AB758C">
        <w:rPr>
          <w:rFonts w:ascii="Cambria" w:hAnsi="Cambria"/>
          <w:sz w:val="24"/>
          <w:szCs w:val="24"/>
        </w:rPr>
        <w:t>slabosti i negativnih učinaka javne</w:t>
      </w:r>
      <w:r w:rsidR="00093A1C" w:rsidRPr="00AB758C">
        <w:rPr>
          <w:rFonts w:ascii="Cambria" w:hAnsi="Cambria"/>
          <w:sz w:val="24"/>
          <w:szCs w:val="24"/>
        </w:rPr>
        <w:t xml:space="preserve"> </w:t>
      </w:r>
      <w:r w:rsidRPr="00AB758C">
        <w:rPr>
          <w:rFonts w:ascii="Cambria" w:hAnsi="Cambria"/>
          <w:sz w:val="24"/>
          <w:szCs w:val="24"/>
        </w:rPr>
        <w:t>politike koje treba na vrijeme otkloniti</w:t>
      </w:r>
      <w:r w:rsidR="00333133">
        <w:rPr>
          <w:rFonts w:ascii="Cambria" w:hAnsi="Cambria"/>
          <w:sz w:val="24"/>
          <w:szCs w:val="24"/>
        </w:rPr>
        <w:t>.</w:t>
      </w:r>
    </w:p>
    <w:p w14:paraId="13446D09" w14:textId="08A3A86D" w:rsidR="00480A92" w:rsidRPr="00AB758C" w:rsidRDefault="00093A1C" w:rsidP="00420D82">
      <w:pPr>
        <w:jc w:val="both"/>
        <w:rPr>
          <w:rFonts w:ascii="Cambria" w:hAnsi="Cambria"/>
          <w:sz w:val="24"/>
          <w:szCs w:val="24"/>
        </w:rPr>
      </w:pPr>
      <w:r w:rsidRPr="00AB758C">
        <w:rPr>
          <w:rFonts w:ascii="Cambria" w:hAnsi="Cambria"/>
          <w:sz w:val="24"/>
          <w:szCs w:val="24"/>
        </w:rPr>
        <w:t xml:space="preserve">Uz zadovoljenje </w:t>
      </w:r>
      <w:r w:rsidR="00480A92" w:rsidRPr="00AB758C">
        <w:rPr>
          <w:rFonts w:ascii="Cambria" w:hAnsi="Cambria"/>
          <w:sz w:val="24"/>
          <w:szCs w:val="24"/>
        </w:rPr>
        <w:t>zakonskih i drugih propisanih obveza</w:t>
      </w:r>
      <w:r w:rsidR="00333133">
        <w:rPr>
          <w:rFonts w:ascii="Cambria" w:hAnsi="Cambria"/>
          <w:sz w:val="24"/>
          <w:szCs w:val="24"/>
        </w:rPr>
        <w:t>,</w:t>
      </w:r>
      <w:r w:rsidR="0001584B" w:rsidRPr="00AB758C">
        <w:rPr>
          <w:rFonts w:ascii="Cambria" w:hAnsi="Cambria"/>
          <w:sz w:val="24"/>
          <w:szCs w:val="24"/>
        </w:rPr>
        <w:t xml:space="preserve"> savjetovanja omogućuju</w:t>
      </w:r>
      <w:r w:rsidRPr="00AB758C">
        <w:rPr>
          <w:rFonts w:ascii="Cambria" w:hAnsi="Cambria"/>
          <w:sz w:val="24"/>
          <w:szCs w:val="24"/>
        </w:rPr>
        <w:t xml:space="preserve"> </w:t>
      </w:r>
      <w:r w:rsidR="00480A92" w:rsidRPr="00AB758C">
        <w:rPr>
          <w:rFonts w:ascii="Cambria" w:hAnsi="Cambria"/>
          <w:sz w:val="24"/>
          <w:szCs w:val="24"/>
        </w:rPr>
        <w:t>prikupljanje relevantnih podataka, ideja</w:t>
      </w:r>
      <w:r w:rsidR="0001584B" w:rsidRPr="00AB758C">
        <w:rPr>
          <w:rFonts w:ascii="Cambria" w:hAnsi="Cambria"/>
          <w:sz w:val="24"/>
          <w:szCs w:val="24"/>
        </w:rPr>
        <w:t xml:space="preserve"> </w:t>
      </w:r>
      <w:r w:rsidRPr="00AB758C">
        <w:rPr>
          <w:rFonts w:ascii="Cambria" w:hAnsi="Cambria"/>
          <w:sz w:val="24"/>
          <w:szCs w:val="24"/>
        </w:rPr>
        <w:t>i miš</w:t>
      </w:r>
      <w:r w:rsidR="00480A92" w:rsidRPr="00AB758C">
        <w:rPr>
          <w:rFonts w:ascii="Cambria" w:hAnsi="Cambria"/>
          <w:sz w:val="24"/>
          <w:szCs w:val="24"/>
        </w:rPr>
        <w:t>ljenja</w:t>
      </w:r>
      <w:r w:rsidRPr="00AB758C">
        <w:rPr>
          <w:rFonts w:ascii="Cambria" w:hAnsi="Cambria"/>
          <w:sz w:val="24"/>
          <w:szCs w:val="24"/>
        </w:rPr>
        <w:t xml:space="preserve"> </w:t>
      </w:r>
      <w:r w:rsidR="00C00D4A">
        <w:rPr>
          <w:rFonts w:ascii="Cambria" w:hAnsi="Cambria"/>
          <w:sz w:val="24"/>
          <w:szCs w:val="24"/>
        </w:rPr>
        <w:t>*</w:t>
      </w:r>
      <w:r w:rsidR="0020585E">
        <w:rPr>
          <w:rFonts w:ascii="Cambria" w:hAnsi="Cambria"/>
          <w:sz w:val="24"/>
          <w:szCs w:val="24"/>
        </w:rPr>
        <w:t xml:space="preserve">te </w:t>
      </w:r>
      <w:r w:rsidR="00480A92" w:rsidRPr="00AB758C">
        <w:rPr>
          <w:rFonts w:ascii="Cambria" w:hAnsi="Cambria"/>
          <w:sz w:val="24"/>
          <w:szCs w:val="24"/>
        </w:rPr>
        <w:t xml:space="preserve">promicanje, osiguravanje i jačanje </w:t>
      </w:r>
      <w:r w:rsidR="00480A92" w:rsidRPr="00AB758C">
        <w:rPr>
          <w:rFonts w:ascii="Cambria" w:hAnsi="Cambria"/>
          <w:sz w:val="24"/>
          <w:szCs w:val="24"/>
        </w:rPr>
        <w:lastRenderedPageBreak/>
        <w:t>transparentnosti, odgovornosti, prilagodljivosti, angažiranosti, u</w:t>
      </w:r>
      <w:r w:rsidRPr="00AB758C">
        <w:rPr>
          <w:rFonts w:ascii="Cambria" w:hAnsi="Cambria"/>
          <w:sz w:val="24"/>
          <w:szCs w:val="24"/>
        </w:rPr>
        <w:t>ključenosti, dostupnosti, sudje</w:t>
      </w:r>
      <w:r w:rsidR="00480A92" w:rsidRPr="00AB758C">
        <w:rPr>
          <w:rFonts w:ascii="Cambria" w:hAnsi="Cambria"/>
          <w:sz w:val="24"/>
          <w:szCs w:val="24"/>
        </w:rPr>
        <w:t>lovanja, supsidijarnosti i socijalne povezanosti svih dionika u donošenju odluka</w:t>
      </w:r>
      <w:r w:rsidR="00581E88">
        <w:rPr>
          <w:rStyle w:val="FootnoteReference"/>
          <w:rFonts w:ascii="Cambria" w:hAnsi="Cambria"/>
          <w:sz w:val="24"/>
          <w:szCs w:val="24"/>
        </w:rPr>
        <w:footnoteReference w:id="2"/>
      </w:r>
      <w:r w:rsidR="0001584B" w:rsidRPr="00AB758C">
        <w:rPr>
          <w:rFonts w:ascii="Cambria" w:hAnsi="Cambria"/>
          <w:sz w:val="24"/>
          <w:szCs w:val="24"/>
        </w:rPr>
        <w:t>.</w:t>
      </w:r>
    </w:p>
    <w:p w14:paraId="4317B122" w14:textId="0805C1A4" w:rsidR="00480A92" w:rsidRPr="00AB758C" w:rsidRDefault="00093A1C" w:rsidP="00420D82">
      <w:pPr>
        <w:jc w:val="both"/>
        <w:rPr>
          <w:rFonts w:ascii="Cambria" w:hAnsi="Cambria"/>
          <w:sz w:val="24"/>
          <w:szCs w:val="24"/>
        </w:rPr>
      </w:pPr>
      <w:r w:rsidRPr="00AB758C">
        <w:rPr>
          <w:rFonts w:ascii="Cambria" w:hAnsi="Cambria"/>
          <w:sz w:val="24"/>
          <w:szCs w:val="24"/>
        </w:rPr>
        <w:t>Provedba savjetovanja sa zainteresiranom javnošću</w:t>
      </w:r>
      <w:r w:rsidR="0001584B" w:rsidRPr="00AB758C">
        <w:rPr>
          <w:rFonts w:ascii="Cambria" w:hAnsi="Cambria"/>
          <w:sz w:val="24"/>
          <w:szCs w:val="24"/>
        </w:rPr>
        <w:t xml:space="preserve"> povećava</w:t>
      </w:r>
      <w:r w:rsidRPr="00AB758C">
        <w:rPr>
          <w:rFonts w:ascii="Cambria" w:hAnsi="Cambria"/>
          <w:sz w:val="24"/>
          <w:szCs w:val="24"/>
        </w:rPr>
        <w:t xml:space="preserve"> </w:t>
      </w:r>
      <w:r w:rsidR="0001584B" w:rsidRPr="00AB758C">
        <w:rPr>
          <w:rFonts w:ascii="Cambria" w:hAnsi="Cambria"/>
          <w:sz w:val="24"/>
          <w:szCs w:val="24"/>
        </w:rPr>
        <w:t>efi</w:t>
      </w:r>
      <w:r w:rsidR="00480A92" w:rsidRPr="00AB758C">
        <w:rPr>
          <w:rFonts w:ascii="Cambria" w:hAnsi="Cambria"/>
          <w:sz w:val="24"/>
          <w:szCs w:val="24"/>
        </w:rPr>
        <w:t>kasnost usvajanja politike</w:t>
      </w:r>
      <w:r w:rsidRPr="00AB758C">
        <w:rPr>
          <w:rFonts w:ascii="Cambria" w:hAnsi="Cambria"/>
          <w:sz w:val="24"/>
          <w:szCs w:val="24"/>
        </w:rPr>
        <w:t xml:space="preserve">, </w:t>
      </w:r>
      <w:r w:rsidR="0001584B" w:rsidRPr="00AB758C">
        <w:rPr>
          <w:rFonts w:ascii="Cambria" w:hAnsi="Cambria"/>
          <w:sz w:val="24"/>
          <w:szCs w:val="24"/>
        </w:rPr>
        <w:t xml:space="preserve">te daje </w:t>
      </w:r>
      <w:r w:rsidR="00480A92" w:rsidRPr="00AB758C">
        <w:rPr>
          <w:rFonts w:ascii="Cambria" w:hAnsi="Cambria"/>
          <w:sz w:val="24"/>
          <w:szCs w:val="24"/>
        </w:rPr>
        <w:t xml:space="preserve">legitimnost </w:t>
      </w:r>
      <w:r w:rsidR="0001584B" w:rsidRPr="00AB758C">
        <w:rPr>
          <w:rFonts w:ascii="Cambria" w:hAnsi="Cambria"/>
          <w:sz w:val="24"/>
          <w:szCs w:val="24"/>
        </w:rPr>
        <w:t>određenoj</w:t>
      </w:r>
      <w:r w:rsidR="00480A92" w:rsidRPr="00AB758C">
        <w:rPr>
          <w:rFonts w:ascii="Cambria" w:hAnsi="Cambria"/>
          <w:sz w:val="24"/>
          <w:szCs w:val="24"/>
        </w:rPr>
        <w:t xml:space="preserve"> politici</w:t>
      </w:r>
      <w:r w:rsidR="0020585E">
        <w:rPr>
          <w:rFonts w:ascii="Cambria" w:hAnsi="Cambria"/>
          <w:sz w:val="24"/>
          <w:szCs w:val="24"/>
        </w:rPr>
        <w:t>,</w:t>
      </w:r>
      <w:r w:rsidR="007D7796">
        <w:rPr>
          <w:rFonts w:ascii="Cambria" w:hAnsi="Cambria"/>
          <w:sz w:val="24"/>
          <w:szCs w:val="24"/>
        </w:rPr>
        <w:t xml:space="preserve"> ali i </w:t>
      </w:r>
      <w:r w:rsidR="00480A92" w:rsidRPr="00AB758C">
        <w:rPr>
          <w:rFonts w:ascii="Cambria" w:hAnsi="Cambria"/>
          <w:sz w:val="24"/>
          <w:szCs w:val="24"/>
        </w:rPr>
        <w:t>prevenira kritik</w:t>
      </w:r>
      <w:r w:rsidR="0020585E">
        <w:rPr>
          <w:rFonts w:ascii="Cambria" w:hAnsi="Cambria"/>
          <w:sz w:val="24"/>
          <w:szCs w:val="24"/>
        </w:rPr>
        <w:t>e</w:t>
      </w:r>
      <w:r w:rsidR="00480A92" w:rsidRPr="00AB758C">
        <w:rPr>
          <w:rFonts w:ascii="Cambria" w:hAnsi="Cambria"/>
          <w:sz w:val="24"/>
          <w:szCs w:val="24"/>
        </w:rPr>
        <w:t xml:space="preserve"> javnosti o zatvorenosti i i</w:t>
      </w:r>
      <w:r w:rsidR="0001584B" w:rsidRPr="00AB758C">
        <w:rPr>
          <w:rFonts w:ascii="Cambria" w:hAnsi="Cambria"/>
          <w:sz w:val="24"/>
          <w:szCs w:val="24"/>
        </w:rPr>
        <w:t>s</w:t>
      </w:r>
      <w:r w:rsidR="00480A92" w:rsidRPr="00AB758C">
        <w:rPr>
          <w:rFonts w:ascii="Cambria" w:hAnsi="Cambria"/>
          <w:sz w:val="24"/>
          <w:szCs w:val="24"/>
        </w:rPr>
        <w:t>ključivanju</w:t>
      </w:r>
      <w:r w:rsidR="00333133">
        <w:rPr>
          <w:rFonts w:ascii="Cambria" w:hAnsi="Cambria"/>
          <w:sz w:val="24"/>
          <w:szCs w:val="24"/>
        </w:rPr>
        <w:t xml:space="preserve"> iz procesa donošenja odluka</w:t>
      </w:r>
      <w:r w:rsidR="00480A92" w:rsidRPr="00AB758C">
        <w:rPr>
          <w:rFonts w:ascii="Cambria" w:hAnsi="Cambria"/>
          <w:sz w:val="24"/>
          <w:szCs w:val="24"/>
        </w:rPr>
        <w:t>.</w:t>
      </w:r>
    </w:p>
    <w:p w14:paraId="7EF34E66" w14:textId="77777777" w:rsidR="00480A92" w:rsidRPr="00AB758C" w:rsidRDefault="00420D82" w:rsidP="0001584B">
      <w:pPr>
        <w:jc w:val="both"/>
        <w:rPr>
          <w:rFonts w:ascii="Cambria" w:hAnsi="Cambria"/>
          <w:sz w:val="24"/>
          <w:szCs w:val="24"/>
        </w:rPr>
      </w:pPr>
      <w:r w:rsidRPr="00AB758C">
        <w:rPr>
          <w:rFonts w:ascii="Cambria" w:hAnsi="Cambria"/>
          <w:sz w:val="24"/>
          <w:szCs w:val="24"/>
        </w:rPr>
        <w:t xml:space="preserve">Pri prednostima savjetovanja </w:t>
      </w:r>
      <w:r w:rsidR="0001584B" w:rsidRPr="00AB758C">
        <w:rPr>
          <w:rFonts w:ascii="Cambria" w:hAnsi="Cambria"/>
          <w:sz w:val="24"/>
          <w:szCs w:val="24"/>
        </w:rPr>
        <w:t>svakako</w:t>
      </w:r>
      <w:r w:rsidRPr="00AB758C">
        <w:rPr>
          <w:rFonts w:ascii="Cambria" w:hAnsi="Cambria"/>
          <w:sz w:val="24"/>
          <w:szCs w:val="24"/>
        </w:rPr>
        <w:t xml:space="preserve"> se izdvaja i </w:t>
      </w:r>
      <w:r w:rsidR="0001584B" w:rsidRPr="00AB758C">
        <w:rPr>
          <w:rFonts w:ascii="Cambria" w:hAnsi="Cambria"/>
          <w:sz w:val="24"/>
          <w:szCs w:val="24"/>
        </w:rPr>
        <w:t>b</w:t>
      </w:r>
      <w:r w:rsidR="00EC220C" w:rsidRPr="00AB758C">
        <w:rPr>
          <w:rFonts w:ascii="Cambria" w:hAnsi="Cambria"/>
          <w:sz w:val="24"/>
          <w:szCs w:val="24"/>
        </w:rPr>
        <w:t>orba protiv korupcije i njena prevencija</w:t>
      </w:r>
      <w:r w:rsidRPr="00AB758C">
        <w:rPr>
          <w:rFonts w:ascii="Cambria" w:hAnsi="Cambria"/>
          <w:sz w:val="24"/>
          <w:szCs w:val="24"/>
        </w:rPr>
        <w:t>.</w:t>
      </w:r>
      <w:r w:rsidR="00EC220C" w:rsidRPr="00AB758C">
        <w:rPr>
          <w:rFonts w:ascii="Cambria" w:hAnsi="Cambria"/>
          <w:sz w:val="24"/>
          <w:szCs w:val="24"/>
        </w:rPr>
        <w:t xml:space="preserve"> </w:t>
      </w:r>
    </w:p>
    <w:p w14:paraId="57139238" w14:textId="77777777" w:rsidR="0001584B" w:rsidRPr="00AB758C" w:rsidRDefault="0001584B" w:rsidP="0001584B">
      <w:pPr>
        <w:jc w:val="both"/>
        <w:rPr>
          <w:rFonts w:ascii="Cambria" w:hAnsi="Cambria"/>
          <w:sz w:val="24"/>
          <w:szCs w:val="24"/>
        </w:rPr>
      </w:pPr>
    </w:p>
    <w:p w14:paraId="24DD4F3A" w14:textId="77777777" w:rsidR="008028F8" w:rsidRDefault="008028F8" w:rsidP="00015400">
      <w:pPr>
        <w:pStyle w:val="Heading1"/>
        <w:rPr>
          <w:b/>
        </w:rPr>
      </w:pPr>
      <w:bookmarkStart w:id="6" w:name="_Toc4076865"/>
      <w:r w:rsidRPr="00015400">
        <w:rPr>
          <w:b/>
        </w:rPr>
        <w:t>2. NORMATIVNI OKVIR</w:t>
      </w:r>
      <w:r w:rsidR="005B630C" w:rsidRPr="00015400">
        <w:rPr>
          <w:b/>
        </w:rPr>
        <w:t xml:space="preserve"> ZA PROVEDBU SAVJETOVANJA S JAVNOŠĆU U REPUBLICI HRVATSKOJ</w:t>
      </w:r>
      <w:bookmarkEnd w:id="6"/>
    </w:p>
    <w:p w14:paraId="59353897" w14:textId="77777777" w:rsidR="000B4AB7" w:rsidRPr="000B4AB7" w:rsidRDefault="000B4AB7" w:rsidP="000B4AB7"/>
    <w:p w14:paraId="69C8CE7F" w14:textId="1695B1A8" w:rsidR="00480A92" w:rsidRPr="00AB758C" w:rsidRDefault="00420D82" w:rsidP="00420D82">
      <w:pPr>
        <w:jc w:val="both"/>
        <w:rPr>
          <w:rFonts w:ascii="Cambria" w:hAnsi="Cambria"/>
          <w:sz w:val="24"/>
          <w:szCs w:val="24"/>
        </w:rPr>
      </w:pPr>
      <w:r w:rsidRPr="00AB758C">
        <w:rPr>
          <w:rFonts w:ascii="Cambria" w:hAnsi="Cambria"/>
          <w:sz w:val="24"/>
          <w:szCs w:val="24"/>
        </w:rPr>
        <w:t xml:space="preserve">Iako se normativni okvir za razvoj sustava savjetovanja sa </w:t>
      </w:r>
      <w:r w:rsidR="005B630C" w:rsidRPr="00AB758C">
        <w:rPr>
          <w:rFonts w:ascii="Cambria" w:hAnsi="Cambria"/>
          <w:sz w:val="24"/>
          <w:szCs w:val="24"/>
        </w:rPr>
        <w:t>zainteresiranom</w:t>
      </w:r>
      <w:r w:rsidRPr="00AB758C">
        <w:rPr>
          <w:rFonts w:ascii="Cambria" w:hAnsi="Cambria"/>
          <w:sz w:val="24"/>
          <w:szCs w:val="24"/>
        </w:rPr>
        <w:t xml:space="preserve"> javnošću u Republici</w:t>
      </w:r>
      <w:r w:rsidR="005B630C" w:rsidRPr="00AB758C">
        <w:rPr>
          <w:rFonts w:ascii="Cambria" w:hAnsi="Cambria"/>
          <w:sz w:val="24"/>
          <w:szCs w:val="24"/>
        </w:rPr>
        <w:t xml:space="preserve"> Hrvatskoj intenzivno razvija u</w:t>
      </w:r>
      <w:r w:rsidRPr="00AB758C">
        <w:rPr>
          <w:rFonts w:ascii="Cambria" w:hAnsi="Cambria"/>
          <w:sz w:val="24"/>
          <w:szCs w:val="24"/>
        </w:rPr>
        <w:t xml:space="preserve"> posljednjih deset godina</w:t>
      </w:r>
      <w:r w:rsidR="005B630C" w:rsidRPr="00AB758C">
        <w:rPr>
          <w:rFonts w:ascii="Cambria" w:hAnsi="Cambria"/>
          <w:sz w:val="24"/>
          <w:szCs w:val="24"/>
        </w:rPr>
        <w:t>,</w:t>
      </w:r>
      <w:r w:rsidRPr="00AB758C">
        <w:rPr>
          <w:rFonts w:ascii="Cambria" w:hAnsi="Cambria"/>
          <w:sz w:val="24"/>
          <w:szCs w:val="24"/>
        </w:rPr>
        <w:t xml:space="preserve"> bitno je naglasiti da je još 1993. Zakonom o </w:t>
      </w:r>
      <w:r w:rsidR="00480A92" w:rsidRPr="00AB758C">
        <w:rPr>
          <w:rFonts w:ascii="Cambria" w:hAnsi="Cambria"/>
          <w:sz w:val="24"/>
          <w:szCs w:val="24"/>
        </w:rPr>
        <w:t>sustavu državne uprave člank</w:t>
      </w:r>
      <w:r w:rsidR="005B630C" w:rsidRPr="00AB758C">
        <w:rPr>
          <w:rFonts w:ascii="Cambria" w:hAnsi="Cambria"/>
          <w:sz w:val="24"/>
          <w:szCs w:val="24"/>
        </w:rPr>
        <w:t>om</w:t>
      </w:r>
      <w:r w:rsidR="00480A92" w:rsidRPr="00AB758C">
        <w:rPr>
          <w:rFonts w:ascii="Cambria" w:hAnsi="Cambria"/>
          <w:sz w:val="24"/>
          <w:szCs w:val="24"/>
        </w:rPr>
        <w:t xml:space="preserve"> 79</w:t>
      </w:r>
      <w:r w:rsidR="005B630C" w:rsidRPr="00AB758C">
        <w:rPr>
          <w:rFonts w:ascii="Cambria" w:hAnsi="Cambria"/>
          <w:sz w:val="24"/>
          <w:szCs w:val="24"/>
        </w:rPr>
        <w:t>.</w:t>
      </w:r>
      <w:r w:rsidR="00480A92" w:rsidRPr="00AB758C">
        <w:rPr>
          <w:rFonts w:ascii="Cambria" w:hAnsi="Cambria"/>
          <w:sz w:val="24"/>
          <w:szCs w:val="24"/>
        </w:rPr>
        <w:t xml:space="preserve">, stavak 2. </w:t>
      </w:r>
      <w:r w:rsidR="005B630C" w:rsidRPr="00AB758C">
        <w:rPr>
          <w:rFonts w:ascii="Cambria" w:hAnsi="Cambria"/>
          <w:sz w:val="24"/>
          <w:szCs w:val="24"/>
        </w:rPr>
        <w:t xml:space="preserve">bila propisana </w:t>
      </w:r>
      <w:r w:rsidR="00480A92" w:rsidRPr="00AB758C">
        <w:rPr>
          <w:rFonts w:ascii="Cambria" w:hAnsi="Cambria"/>
          <w:sz w:val="24"/>
          <w:szCs w:val="24"/>
        </w:rPr>
        <w:t>fakultativn</w:t>
      </w:r>
      <w:r w:rsidR="005B630C" w:rsidRPr="00AB758C">
        <w:rPr>
          <w:rFonts w:ascii="Cambria" w:hAnsi="Cambria"/>
          <w:sz w:val="24"/>
          <w:szCs w:val="24"/>
        </w:rPr>
        <w:t>a</w:t>
      </w:r>
      <w:r w:rsidR="00480A92" w:rsidRPr="00AB758C">
        <w:rPr>
          <w:rFonts w:ascii="Cambria" w:hAnsi="Cambria"/>
          <w:sz w:val="24"/>
          <w:szCs w:val="24"/>
        </w:rPr>
        <w:t xml:space="preserve"> mogućnost za</w:t>
      </w:r>
      <w:r w:rsidR="00403E87" w:rsidRPr="00AB758C">
        <w:rPr>
          <w:rFonts w:ascii="Cambria" w:hAnsi="Cambria"/>
          <w:sz w:val="24"/>
          <w:szCs w:val="24"/>
        </w:rPr>
        <w:t xml:space="preserve"> </w:t>
      </w:r>
      <w:r w:rsidR="00480A92" w:rsidRPr="00AB758C">
        <w:rPr>
          <w:rFonts w:ascii="Cambria" w:hAnsi="Cambria"/>
          <w:sz w:val="24"/>
          <w:szCs w:val="24"/>
        </w:rPr>
        <w:t>čelnike tijela državne uprave da objave nacrte propisa za koje je javnost osobito zainteresirana odnosno</w:t>
      </w:r>
      <w:r w:rsidR="00A92119" w:rsidRPr="00AB758C">
        <w:rPr>
          <w:rFonts w:ascii="Cambria" w:hAnsi="Cambria"/>
          <w:sz w:val="24"/>
          <w:szCs w:val="24"/>
        </w:rPr>
        <w:t xml:space="preserve"> </w:t>
      </w:r>
      <w:r w:rsidR="00480A92" w:rsidRPr="00AB758C">
        <w:rPr>
          <w:rFonts w:ascii="Cambria" w:hAnsi="Cambria"/>
          <w:sz w:val="24"/>
          <w:szCs w:val="24"/>
        </w:rPr>
        <w:t xml:space="preserve">pozovu javnost na davanje primjedbi. I članak 63. Zakona o ustanovama iz 1993. propisuje da </w:t>
      </w:r>
      <w:r w:rsidR="002F0417">
        <w:rPr>
          <w:rFonts w:ascii="Cambria" w:hAnsi="Cambria"/>
          <w:sz w:val="24"/>
          <w:szCs w:val="24"/>
        </w:rPr>
        <w:t xml:space="preserve">je </w:t>
      </w:r>
      <w:r w:rsidR="00480A92" w:rsidRPr="00AB758C">
        <w:rPr>
          <w:rFonts w:ascii="Cambria" w:hAnsi="Cambria"/>
          <w:sz w:val="24"/>
          <w:szCs w:val="24"/>
        </w:rPr>
        <w:t>javna ustanova,</w:t>
      </w:r>
      <w:r w:rsidR="00403E87" w:rsidRPr="00AB758C">
        <w:rPr>
          <w:rFonts w:ascii="Cambria" w:hAnsi="Cambria"/>
          <w:sz w:val="24"/>
          <w:szCs w:val="24"/>
        </w:rPr>
        <w:t xml:space="preserve"> </w:t>
      </w:r>
      <w:r w:rsidR="00480A92" w:rsidRPr="00AB758C">
        <w:rPr>
          <w:rFonts w:ascii="Cambria" w:hAnsi="Cambria"/>
          <w:sz w:val="24"/>
          <w:szCs w:val="24"/>
        </w:rPr>
        <w:t>kad održava stručna i druga savjetovanja i skupove o pitanjima za koja je javnost posebno zainteresirana, dužna</w:t>
      </w:r>
      <w:r w:rsidR="00A92119" w:rsidRPr="00AB758C">
        <w:rPr>
          <w:rFonts w:ascii="Cambria" w:hAnsi="Cambria"/>
          <w:sz w:val="24"/>
          <w:szCs w:val="24"/>
        </w:rPr>
        <w:t xml:space="preserve"> </w:t>
      </w:r>
      <w:r w:rsidR="00480A92" w:rsidRPr="00AB758C">
        <w:rPr>
          <w:rFonts w:ascii="Cambria" w:hAnsi="Cambria"/>
          <w:sz w:val="24"/>
          <w:szCs w:val="24"/>
        </w:rPr>
        <w:t>putem sredstava javnog priopćavanja o tome obavijestiti javnost.</w:t>
      </w:r>
    </w:p>
    <w:p w14:paraId="57A6CF94" w14:textId="2262017E" w:rsidR="00A92119" w:rsidRPr="00AB758C" w:rsidRDefault="00403E87" w:rsidP="00A92119">
      <w:pPr>
        <w:jc w:val="both"/>
        <w:rPr>
          <w:rFonts w:ascii="Cambria" w:hAnsi="Cambria"/>
          <w:sz w:val="24"/>
          <w:szCs w:val="24"/>
        </w:rPr>
      </w:pPr>
      <w:r w:rsidRPr="00AB758C">
        <w:rPr>
          <w:rFonts w:ascii="Cambria" w:hAnsi="Cambria"/>
          <w:sz w:val="24"/>
          <w:szCs w:val="24"/>
        </w:rPr>
        <w:t>Ipak</w:t>
      </w:r>
      <w:r w:rsidR="0020585E">
        <w:rPr>
          <w:rFonts w:ascii="Cambria" w:hAnsi="Cambria"/>
          <w:sz w:val="24"/>
          <w:szCs w:val="24"/>
        </w:rPr>
        <w:t>,</w:t>
      </w:r>
      <w:r w:rsidRPr="00AB758C">
        <w:rPr>
          <w:rFonts w:ascii="Cambria" w:hAnsi="Cambria"/>
          <w:sz w:val="24"/>
          <w:szCs w:val="24"/>
        </w:rPr>
        <w:t xml:space="preserve"> stvarni razvoj sustava savjetovanja s javnošću započeo je </w:t>
      </w:r>
      <w:r w:rsidR="00A92119" w:rsidRPr="00AB758C">
        <w:rPr>
          <w:rFonts w:ascii="Cambria" w:hAnsi="Cambria"/>
          <w:sz w:val="24"/>
          <w:szCs w:val="24"/>
        </w:rPr>
        <w:t xml:space="preserve">donošenjem Kodeksa savjetovanja za zainteresiranom javnošću u postupcima donošenja zakona, drugih propisa i akata </w:t>
      </w:r>
      <w:r w:rsidR="004F6D77">
        <w:rPr>
          <w:rFonts w:ascii="Cambria" w:hAnsi="Cambria"/>
          <w:sz w:val="24"/>
          <w:szCs w:val="24"/>
        </w:rPr>
        <w:t xml:space="preserve">(NN 140/09) </w:t>
      </w:r>
      <w:r w:rsidR="00A92119" w:rsidRPr="00AB758C">
        <w:rPr>
          <w:rFonts w:ascii="Cambria" w:hAnsi="Cambria"/>
          <w:sz w:val="24"/>
          <w:szCs w:val="24"/>
        </w:rPr>
        <w:t>na sjednici Vlade u studenom 2009. godine. Sukladno Kodeksu, sva tijela državne uprave trebala su imenovati koordinatore za savjetovanje, a Ured za udruge trebao je izraditi smjernice za primjenu Kodeksa i program sustavne edukacije koordinatora za savjetovanje. Tijekom 2010. godine izrađene su Smjernice te su s imenovanim koordinatorima provedene i prve edukacije, a sukladno Kodeksu provedeno je i nekoliko savjetovanja sa zainteresiranom javnošću.</w:t>
      </w:r>
    </w:p>
    <w:p w14:paraId="35763AC1" w14:textId="491C79AD" w:rsidR="00A92119" w:rsidRPr="00AB758C" w:rsidRDefault="00A92119" w:rsidP="00A92119">
      <w:pPr>
        <w:jc w:val="both"/>
        <w:rPr>
          <w:rFonts w:ascii="Cambria" w:hAnsi="Cambria"/>
          <w:sz w:val="24"/>
          <w:szCs w:val="24"/>
        </w:rPr>
      </w:pPr>
      <w:r w:rsidRPr="00AB758C">
        <w:rPr>
          <w:rFonts w:ascii="Cambria" w:hAnsi="Cambria"/>
          <w:sz w:val="24"/>
          <w:szCs w:val="24"/>
        </w:rPr>
        <w:t>Hrvatski sabor je, na sjednici održanoj 15. veljače 2013. godine, donio Zakon o pravu na pristup informacijama</w:t>
      </w:r>
      <w:r w:rsidR="004F6D77">
        <w:rPr>
          <w:rFonts w:ascii="Cambria" w:hAnsi="Cambria"/>
          <w:sz w:val="24"/>
          <w:szCs w:val="24"/>
        </w:rPr>
        <w:t xml:space="preserve"> (NN 25/13)</w:t>
      </w:r>
      <w:r w:rsidRPr="00AB758C">
        <w:rPr>
          <w:rFonts w:ascii="Cambria" w:hAnsi="Cambria"/>
          <w:sz w:val="24"/>
          <w:szCs w:val="24"/>
        </w:rPr>
        <w:t xml:space="preserve"> koji, između ostalog, obvezuje tijela javne vlasti na javno objavljivanje nacrta zakona, drugih propisa i akata te predviđa rok za savjetovanje sa zainteresiranom javnošću od 30 dana. Ovime je ispunjena i jedna od mjera Nacionalne strategije stvaranja poticajnog okruženja za razvoj civilnoga društva 2012. – 2016. kojom se željelo poboljšati zakonski okvir za ostvarivanje prava na pristup informacijama i unaprijediti njegovu provedbu.</w:t>
      </w:r>
    </w:p>
    <w:p w14:paraId="13B8DDBA" w14:textId="77777777" w:rsidR="00A92119" w:rsidRPr="00AB758C" w:rsidRDefault="00A92119" w:rsidP="00BE5093">
      <w:pPr>
        <w:jc w:val="both"/>
        <w:rPr>
          <w:rFonts w:ascii="Cambria" w:hAnsi="Cambria"/>
          <w:sz w:val="24"/>
          <w:szCs w:val="24"/>
        </w:rPr>
      </w:pPr>
      <w:r w:rsidRPr="00AB758C">
        <w:rPr>
          <w:rFonts w:ascii="Cambria" w:hAnsi="Cambria"/>
          <w:sz w:val="24"/>
          <w:szCs w:val="24"/>
        </w:rPr>
        <w:lastRenderedPageBreak/>
        <w:t xml:space="preserve">Sukladno Akcijskom planu Partnerstva za otvorenu vlast za razdoblje 2014. – 2016., te planovima Vlade Republike Hrvatske o uspostavljanja središnjeg državnog portala gov.hr, predviđeno je otvaranje mrežne stranice posvećene savjetovanju, na kojoj bi postojala stalna komunikacija između državnih tijela i zainteresirane javnosti o svim propisima u proceduri donošenja. U 2014. godini započeo je rad na uspostavljanju portala e-Savjetovanja, kao jedinstvenog internetskog sustava za savjetovanje s javnošću u postupcima donošenja novih zakona, drugih propisa i akata, u sklopu stranice savjetovanja.gov.hr. Portal je javno objavljen 27. travnja 2015. </w:t>
      </w:r>
    </w:p>
    <w:p w14:paraId="361ED35B" w14:textId="52876877" w:rsidR="00A92119" w:rsidRPr="00AB758C" w:rsidRDefault="00A92119" w:rsidP="00A92119">
      <w:pPr>
        <w:jc w:val="both"/>
        <w:rPr>
          <w:rFonts w:ascii="Cambria" w:hAnsi="Cambria"/>
          <w:sz w:val="24"/>
          <w:szCs w:val="24"/>
        </w:rPr>
      </w:pPr>
      <w:r w:rsidRPr="00AB758C">
        <w:rPr>
          <w:rFonts w:ascii="Cambria" w:hAnsi="Cambria"/>
          <w:sz w:val="24"/>
          <w:szCs w:val="24"/>
        </w:rPr>
        <w:t>Poticaj za uspostavu središnjeg portala e-Savjetovanja dale su i brojne organizacije civilnog</w:t>
      </w:r>
      <w:r w:rsidR="0020585E">
        <w:rPr>
          <w:rFonts w:ascii="Cambria" w:hAnsi="Cambria"/>
          <w:sz w:val="24"/>
          <w:szCs w:val="24"/>
        </w:rPr>
        <w:t>a</w:t>
      </w:r>
      <w:r w:rsidRPr="00AB758C">
        <w:rPr>
          <w:rFonts w:ascii="Cambria" w:hAnsi="Cambria"/>
          <w:sz w:val="24"/>
          <w:szCs w:val="24"/>
        </w:rPr>
        <w:t xml:space="preserve"> društva, poslovni sektor, ali i građani, u svrhu poboljšanja razine dostupnosti informacija o svim trenutno otvorenim savjetovanjima. Sustav e-Savjetovanja predstavlja kvalitativni iskorak tijela državne uprave u pogledu transparentnosti i dostupnosti zainteresiranoj javnosti da aktivno sudjeluje u stvaranju nacrta zakona, drugih propisa i akata odnosno dostupnosti informacija o otvorenim i provedenim savjetovanjima sa zainteresiranom javnošću. Također, e-Savjetovanja donose i viši stupanj transparentnosti i otvorenosti u odnosu na komentare predstavnike zainteresirane javnosti koji se mogu vidjeti tijekom čitavog postupka savjetovanja.</w:t>
      </w:r>
    </w:p>
    <w:p w14:paraId="579F1908" w14:textId="77777777" w:rsidR="00A92119" w:rsidRPr="00AB758C" w:rsidRDefault="00A92119" w:rsidP="00A92119">
      <w:pPr>
        <w:jc w:val="both"/>
        <w:rPr>
          <w:rFonts w:ascii="Cambria" w:hAnsi="Cambria"/>
          <w:sz w:val="24"/>
          <w:szCs w:val="24"/>
        </w:rPr>
      </w:pPr>
      <w:r w:rsidRPr="00AB758C">
        <w:rPr>
          <w:rFonts w:ascii="Cambria" w:hAnsi="Cambria"/>
          <w:sz w:val="24"/>
          <w:szCs w:val="24"/>
        </w:rPr>
        <w:t xml:space="preserve">Zakon o pravu na pristup informacijama, odnosno njegove Izmjene i dopune iz kolovoza 2015. (NN 85/15), obvezuju tijela državne uprave na provođenje savjetovanja putem središnjeg državnog internetskog portala za savjetovanja s javnošću prilikom donošenja zakona i </w:t>
      </w:r>
      <w:proofErr w:type="spellStart"/>
      <w:r w:rsidRPr="00AB758C">
        <w:rPr>
          <w:rFonts w:ascii="Cambria" w:hAnsi="Cambria"/>
          <w:sz w:val="24"/>
          <w:szCs w:val="24"/>
        </w:rPr>
        <w:t>podzakonskih</w:t>
      </w:r>
      <w:proofErr w:type="spellEnd"/>
      <w:r w:rsidRPr="00AB758C">
        <w:rPr>
          <w:rFonts w:ascii="Cambria" w:hAnsi="Cambria"/>
          <w:sz w:val="24"/>
          <w:szCs w:val="24"/>
        </w:rPr>
        <w:t xml:space="preserve"> propisa, a pri donošenju općih akata odnosno drugih strateških ili planskih dokumenata kad se njima utječe na interese građana i pravnih osoba</w:t>
      </w:r>
    </w:p>
    <w:p w14:paraId="0D9032FB" w14:textId="1B961D54" w:rsidR="00480A92" w:rsidRPr="00AB758C" w:rsidRDefault="00717E01" w:rsidP="00A92119">
      <w:pPr>
        <w:jc w:val="both"/>
        <w:rPr>
          <w:rFonts w:ascii="Cambria" w:hAnsi="Cambria"/>
          <w:sz w:val="24"/>
          <w:szCs w:val="24"/>
        </w:rPr>
      </w:pPr>
      <w:r w:rsidRPr="00AB758C">
        <w:rPr>
          <w:rFonts w:ascii="Cambria" w:hAnsi="Cambria"/>
          <w:sz w:val="24"/>
          <w:szCs w:val="24"/>
        </w:rPr>
        <w:t>Također, u 2017. došlo je do izmjene normativnog okvira procjene učinaka propisa donošenjem Zakona o procjeni učinaka propisa (NN 44/17) te Uredbe o provedbi postupka procjene učinaka propisa (NN 52/17). Navedenim propisima postupak savjetovanja s javnošću u sklopu procjene učinaka propisa usklađen je s</w:t>
      </w:r>
      <w:r w:rsidR="00100F29">
        <w:rPr>
          <w:rFonts w:ascii="Cambria" w:hAnsi="Cambria"/>
          <w:sz w:val="24"/>
          <w:szCs w:val="24"/>
        </w:rPr>
        <w:t>a</w:t>
      </w:r>
      <w:r w:rsidRPr="00AB758C">
        <w:rPr>
          <w:rFonts w:ascii="Cambria" w:hAnsi="Cambria"/>
          <w:sz w:val="24"/>
          <w:szCs w:val="24"/>
        </w:rPr>
        <w:t xml:space="preserve"> Zakonom o pravu na pristup informacijama.   </w:t>
      </w:r>
    </w:p>
    <w:p w14:paraId="60AD31B1" w14:textId="77777777" w:rsidR="00A92119" w:rsidRPr="00AB758C" w:rsidRDefault="00A92119" w:rsidP="00E016E7">
      <w:pPr>
        <w:pStyle w:val="Heading2"/>
        <w:spacing w:after="120"/>
      </w:pPr>
      <w:bookmarkStart w:id="7" w:name="_Toc4076866"/>
      <w:r w:rsidRPr="00AB758C">
        <w:t xml:space="preserve">2.1. </w:t>
      </w:r>
      <w:r w:rsidR="00BE5093" w:rsidRPr="00AB758C">
        <w:t>P</w:t>
      </w:r>
      <w:r w:rsidRPr="00AB758C">
        <w:t>rov</w:t>
      </w:r>
      <w:r w:rsidR="00BE5093" w:rsidRPr="00AB758C">
        <w:t>e</w:t>
      </w:r>
      <w:r w:rsidRPr="00AB758C">
        <w:t>d</w:t>
      </w:r>
      <w:r w:rsidR="00BE5093" w:rsidRPr="00AB758C">
        <w:t>ba</w:t>
      </w:r>
      <w:r w:rsidRPr="00AB758C">
        <w:t xml:space="preserve"> savjetovanja sa </w:t>
      </w:r>
      <w:r w:rsidR="00BE5093" w:rsidRPr="00AB758C">
        <w:t>zainteresiranom</w:t>
      </w:r>
      <w:r w:rsidRPr="00AB758C">
        <w:t xml:space="preserve"> javnošću u Republici Hrvatskoj</w:t>
      </w:r>
      <w:bookmarkEnd w:id="7"/>
    </w:p>
    <w:p w14:paraId="6F582B0A" w14:textId="77777777" w:rsidR="00A92119" w:rsidRPr="00AB758C" w:rsidRDefault="00A92119" w:rsidP="000E7087">
      <w:pPr>
        <w:jc w:val="both"/>
        <w:rPr>
          <w:rFonts w:ascii="Cambria" w:hAnsi="Cambria"/>
          <w:sz w:val="24"/>
          <w:szCs w:val="24"/>
        </w:rPr>
      </w:pPr>
      <w:r w:rsidRPr="00AB758C">
        <w:rPr>
          <w:rFonts w:ascii="Cambria" w:hAnsi="Cambria"/>
          <w:sz w:val="24"/>
          <w:szCs w:val="24"/>
        </w:rPr>
        <w:t>Član</w:t>
      </w:r>
      <w:r w:rsidR="00963B4E" w:rsidRPr="00AB758C">
        <w:rPr>
          <w:rFonts w:ascii="Cambria" w:hAnsi="Cambria"/>
          <w:sz w:val="24"/>
          <w:szCs w:val="24"/>
        </w:rPr>
        <w:t>ak</w:t>
      </w:r>
      <w:r w:rsidRPr="00AB758C">
        <w:rPr>
          <w:rFonts w:ascii="Cambria" w:hAnsi="Cambria"/>
          <w:sz w:val="24"/>
          <w:szCs w:val="24"/>
        </w:rPr>
        <w:t xml:space="preserve"> 11. Zakona o pravu na pristup informacijama definira obveze vezane za provedbu savjetovanja s javnošću. </w:t>
      </w:r>
    </w:p>
    <w:p w14:paraId="24781360" w14:textId="77777777" w:rsidR="00A92119" w:rsidRPr="00AB758C" w:rsidRDefault="00A92119" w:rsidP="00A92119">
      <w:pPr>
        <w:jc w:val="both"/>
        <w:rPr>
          <w:rFonts w:ascii="Cambria" w:hAnsi="Cambria"/>
          <w:sz w:val="24"/>
          <w:szCs w:val="24"/>
        </w:rPr>
      </w:pPr>
      <w:r w:rsidRPr="00AB758C">
        <w:rPr>
          <w:rFonts w:ascii="Cambria" w:hAnsi="Cambria"/>
          <w:sz w:val="24"/>
          <w:szCs w:val="24"/>
        </w:rPr>
        <w:t xml:space="preserve">Obveznici provedbe savjetovanja s javnošću definirani su kao sljedeće skupine tijela javne vlasti – tijela državne uprave, druga državna tijela, jedinice lokalne i područne (regionalne) samouprave, pravne osobe  s javnim ovlastima. Tijela su u obvezi provoditi savjetovanja s javnošću u postupku pripreme i donošenja svih zakonskih i </w:t>
      </w:r>
      <w:proofErr w:type="spellStart"/>
      <w:r w:rsidRPr="00AB758C">
        <w:rPr>
          <w:rFonts w:ascii="Cambria" w:hAnsi="Cambria"/>
          <w:sz w:val="24"/>
          <w:szCs w:val="24"/>
        </w:rPr>
        <w:t>podzakonskih</w:t>
      </w:r>
      <w:proofErr w:type="spellEnd"/>
      <w:r w:rsidRPr="00AB758C">
        <w:rPr>
          <w:rFonts w:ascii="Cambria" w:hAnsi="Cambria"/>
          <w:sz w:val="24"/>
          <w:szCs w:val="24"/>
        </w:rPr>
        <w:t xml:space="preserve"> akata, kao i prilikom donošenja općih akata i strateških ili planskih dokumenata kad se njima utječe na interese građana i pravnih osoba.</w:t>
      </w:r>
    </w:p>
    <w:p w14:paraId="2D8BFD5A" w14:textId="5434B050" w:rsidR="00717E01" w:rsidRPr="00AB758C" w:rsidRDefault="00717E01" w:rsidP="00963B4E">
      <w:pPr>
        <w:jc w:val="both"/>
        <w:rPr>
          <w:rFonts w:ascii="Cambria" w:hAnsi="Cambria"/>
          <w:i/>
          <w:sz w:val="24"/>
          <w:szCs w:val="24"/>
        </w:rPr>
      </w:pPr>
      <w:r w:rsidRPr="00AB758C">
        <w:rPr>
          <w:rFonts w:ascii="Cambria" w:hAnsi="Cambria"/>
          <w:sz w:val="24"/>
          <w:szCs w:val="24"/>
        </w:rPr>
        <w:t>U pogledu načina provedbe savjetovanja Zakon definira da</w:t>
      </w:r>
      <w:r w:rsidRPr="00AB758C">
        <w:rPr>
          <w:rFonts w:ascii="Cambria" w:hAnsi="Cambria"/>
          <w:i/>
          <w:sz w:val="24"/>
          <w:szCs w:val="24"/>
        </w:rPr>
        <w:t xml:space="preserve"> </w:t>
      </w:r>
      <w:r w:rsidR="00963B4E" w:rsidRPr="00AB758C">
        <w:rPr>
          <w:rFonts w:ascii="Cambria" w:hAnsi="Cambria"/>
          <w:sz w:val="24"/>
          <w:szCs w:val="24"/>
        </w:rPr>
        <w:t>t</w:t>
      </w:r>
      <w:r w:rsidRPr="00AB758C">
        <w:rPr>
          <w:rFonts w:ascii="Cambria" w:hAnsi="Cambria"/>
          <w:sz w:val="24"/>
          <w:szCs w:val="24"/>
        </w:rPr>
        <w:t>ijela državne uprave savjetovanja s javnošću provode putem središnjeg državnog portala za provedbu s</w:t>
      </w:r>
      <w:r w:rsidR="00963B4E" w:rsidRPr="00AB758C">
        <w:rPr>
          <w:rFonts w:ascii="Cambria" w:hAnsi="Cambria"/>
          <w:sz w:val="24"/>
          <w:szCs w:val="24"/>
        </w:rPr>
        <w:t xml:space="preserve">avjetovanja, </w:t>
      </w:r>
      <w:r w:rsidRPr="00AB758C">
        <w:rPr>
          <w:rFonts w:ascii="Cambria" w:hAnsi="Cambria"/>
          <w:sz w:val="24"/>
          <w:szCs w:val="24"/>
        </w:rPr>
        <w:t xml:space="preserve">a ostali obveznici provedbe savjetovanja u pravilu to čine putem svojih </w:t>
      </w:r>
      <w:r w:rsidRPr="00AB758C">
        <w:rPr>
          <w:rFonts w:ascii="Cambria" w:hAnsi="Cambria"/>
          <w:sz w:val="24"/>
          <w:szCs w:val="24"/>
        </w:rPr>
        <w:lastRenderedPageBreak/>
        <w:t xml:space="preserve">internetskih stranica. Na državnoj razini, neka državna tijela i pravne osobe s javnim ovlastima (agencije, zavodi, centri, komore itd.) također provode savjetovanja putem središnjeg državnog portala. </w:t>
      </w:r>
    </w:p>
    <w:p w14:paraId="6E83375D" w14:textId="72A670B9" w:rsidR="00A92119" w:rsidRPr="00AB758C" w:rsidRDefault="00963B4E" w:rsidP="0041015B">
      <w:pPr>
        <w:jc w:val="both"/>
        <w:rPr>
          <w:rFonts w:ascii="Cambria" w:hAnsi="Cambria"/>
          <w:sz w:val="24"/>
          <w:szCs w:val="24"/>
        </w:rPr>
      </w:pPr>
      <w:r w:rsidRPr="00AB758C">
        <w:rPr>
          <w:rFonts w:ascii="Cambria" w:hAnsi="Cambria"/>
          <w:sz w:val="24"/>
          <w:szCs w:val="24"/>
        </w:rPr>
        <w:t xml:space="preserve">Uz provedbu </w:t>
      </w:r>
      <w:r w:rsidR="0041015B" w:rsidRPr="00AB758C">
        <w:rPr>
          <w:rFonts w:ascii="Cambria" w:hAnsi="Cambria"/>
          <w:sz w:val="24"/>
          <w:szCs w:val="24"/>
        </w:rPr>
        <w:t>internetskog savjetovanja</w:t>
      </w:r>
      <w:r w:rsidRPr="00AB758C">
        <w:rPr>
          <w:rFonts w:ascii="Cambria" w:hAnsi="Cambria"/>
          <w:sz w:val="24"/>
          <w:szCs w:val="24"/>
        </w:rPr>
        <w:t xml:space="preserve"> koje je obvezno</w:t>
      </w:r>
      <w:r w:rsidR="0041015B" w:rsidRPr="00AB758C">
        <w:rPr>
          <w:rFonts w:ascii="Cambria" w:hAnsi="Cambria"/>
          <w:sz w:val="24"/>
          <w:szCs w:val="24"/>
        </w:rPr>
        <w:t xml:space="preserve">, tijelo javne vlasti može </w:t>
      </w:r>
      <w:r w:rsidR="007446CF" w:rsidRPr="00AB758C">
        <w:rPr>
          <w:rFonts w:ascii="Cambria" w:hAnsi="Cambria"/>
          <w:sz w:val="24"/>
          <w:szCs w:val="24"/>
        </w:rPr>
        <w:t>provoditi</w:t>
      </w:r>
      <w:r w:rsidR="0041015B" w:rsidRPr="00AB758C">
        <w:rPr>
          <w:rFonts w:ascii="Cambria" w:hAnsi="Cambria"/>
          <w:sz w:val="24"/>
          <w:szCs w:val="24"/>
        </w:rPr>
        <w:t xml:space="preserve"> savjetovanja s javnošću</w:t>
      </w:r>
      <w:r w:rsidR="004F6D77">
        <w:rPr>
          <w:rFonts w:ascii="Cambria" w:hAnsi="Cambria"/>
          <w:sz w:val="24"/>
          <w:szCs w:val="24"/>
        </w:rPr>
        <w:t xml:space="preserve"> koristeći i druge metode</w:t>
      </w:r>
      <w:r w:rsidR="0041015B" w:rsidRPr="00AB758C">
        <w:rPr>
          <w:rFonts w:ascii="Cambria" w:hAnsi="Cambria"/>
          <w:sz w:val="24"/>
          <w:szCs w:val="24"/>
        </w:rPr>
        <w:t xml:space="preserve">, kako je to </w:t>
      </w:r>
      <w:r w:rsidR="00100F29">
        <w:rPr>
          <w:rFonts w:ascii="Cambria" w:hAnsi="Cambria"/>
          <w:sz w:val="24"/>
          <w:szCs w:val="24"/>
        </w:rPr>
        <w:t xml:space="preserve">opisano u Smjernicama za primjenu Kodeksa savjetovanja odnosno </w:t>
      </w:r>
      <w:r w:rsidR="0041015B" w:rsidRPr="00AB758C">
        <w:rPr>
          <w:rFonts w:ascii="Cambria" w:hAnsi="Cambria"/>
          <w:sz w:val="24"/>
          <w:szCs w:val="24"/>
        </w:rPr>
        <w:t>o</w:t>
      </w:r>
      <w:r w:rsidR="007446CF" w:rsidRPr="00AB758C">
        <w:rPr>
          <w:rFonts w:ascii="Cambria" w:hAnsi="Cambria"/>
          <w:sz w:val="24"/>
          <w:szCs w:val="24"/>
        </w:rPr>
        <w:t>dređeno u članku 11., stavak 6.,</w:t>
      </w:r>
      <w:r w:rsidR="002071B9" w:rsidRPr="00AB758C">
        <w:rPr>
          <w:rFonts w:ascii="Cambria" w:hAnsi="Cambria"/>
          <w:sz w:val="24"/>
          <w:szCs w:val="24"/>
        </w:rPr>
        <w:t xml:space="preserve"> Zakona o pravu na pristup informacijama,</w:t>
      </w:r>
      <w:r w:rsidR="007446CF" w:rsidRPr="00AB758C">
        <w:rPr>
          <w:rFonts w:ascii="Cambria" w:hAnsi="Cambria"/>
          <w:sz w:val="24"/>
          <w:szCs w:val="24"/>
        </w:rPr>
        <w:t xml:space="preserve"> poput javnih rasprava, javnih predstavlja, anketa, fokus skupina i sl.</w:t>
      </w:r>
    </w:p>
    <w:p w14:paraId="3AEFEA8A" w14:textId="320346CD" w:rsidR="00BE5093" w:rsidRPr="00AB758C" w:rsidRDefault="00100F29" w:rsidP="00BE5093">
      <w:pPr>
        <w:jc w:val="both"/>
        <w:rPr>
          <w:rFonts w:ascii="Cambria" w:hAnsi="Cambria"/>
          <w:sz w:val="24"/>
          <w:szCs w:val="24"/>
        </w:rPr>
      </w:pPr>
      <w:r>
        <w:rPr>
          <w:rFonts w:ascii="Cambria" w:hAnsi="Cambria"/>
          <w:sz w:val="24"/>
          <w:szCs w:val="24"/>
        </w:rPr>
        <w:t>Internetsko s</w:t>
      </w:r>
      <w:r w:rsidR="00BE5093" w:rsidRPr="00AB758C">
        <w:rPr>
          <w:rFonts w:ascii="Cambria" w:hAnsi="Cambria"/>
          <w:sz w:val="24"/>
          <w:szCs w:val="24"/>
        </w:rPr>
        <w:t>avjetovanje s javnošću započinje internetskom objavom nacrta propisa, općeg akta odnosno drugog dokumenta, uz popratni dokument ili tekst u kojem</w:t>
      </w:r>
      <w:r w:rsidR="004F6D77">
        <w:rPr>
          <w:rFonts w:ascii="Cambria" w:hAnsi="Cambria"/>
          <w:sz w:val="24"/>
          <w:szCs w:val="24"/>
        </w:rPr>
        <w:t xml:space="preserve"> se</w:t>
      </w:r>
      <w:r w:rsidR="00BE5093" w:rsidRPr="00AB758C">
        <w:rPr>
          <w:rFonts w:ascii="Cambria" w:hAnsi="Cambria"/>
          <w:sz w:val="24"/>
          <w:szCs w:val="24"/>
        </w:rPr>
        <w:t xml:space="preserve"> navode razlozi donošenja kao i ciljevi koji se žele postići donošenjem te pozivom javnosti da dostavi svoje prijedloge i mišljenja u određenom roku, s jasno naznačenim rokom trajanja savjetovanja – danom otvaranja i danom završetka savjetovanja. Navedeni nacrt i popratni dokument ili tekst potrebno je objaviti</w:t>
      </w:r>
      <w:r w:rsidR="00810C22">
        <w:rPr>
          <w:rFonts w:ascii="Cambria" w:hAnsi="Cambria"/>
          <w:sz w:val="24"/>
          <w:szCs w:val="24"/>
        </w:rPr>
        <w:t>,</w:t>
      </w:r>
      <w:r w:rsidR="00BE5093" w:rsidRPr="00AB758C">
        <w:rPr>
          <w:rFonts w:ascii="Cambria" w:hAnsi="Cambria"/>
          <w:sz w:val="24"/>
          <w:szCs w:val="24"/>
        </w:rPr>
        <w:t xml:space="preserve"> odnosno istaknuti poveznicu</w:t>
      </w:r>
      <w:r w:rsidR="004F6D77">
        <w:rPr>
          <w:rFonts w:ascii="Cambria" w:hAnsi="Cambria"/>
          <w:sz w:val="24"/>
          <w:szCs w:val="24"/>
        </w:rPr>
        <w:t>,</w:t>
      </w:r>
      <w:r w:rsidR="00BE5093" w:rsidRPr="00AB758C">
        <w:rPr>
          <w:rFonts w:ascii="Cambria" w:hAnsi="Cambria"/>
          <w:sz w:val="24"/>
          <w:szCs w:val="24"/>
        </w:rPr>
        <w:t xml:space="preserve"> na jasno vidljivom mjestu</w:t>
      </w:r>
      <w:r w:rsidR="00D03487">
        <w:rPr>
          <w:rFonts w:ascii="Cambria" w:hAnsi="Cambria"/>
          <w:sz w:val="24"/>
          <w:szCs w:val="24"/>
        </w:rPr>
        <w:t>. Preporuka je poveznicu objaviti</w:t>
      </w:r>
      <w:r w:rsidR="00BE5093" w:rsidRPr="00AB758C">
        <w:rPr>
          <w:rFonts w:ascii="Cambria" w:hAnsi="Cambria"/>
          <w:sz w:val="24"/>
          <w:szCs w:val="24"/>
        </w:rPr>
        <w:t xml:space="preserve"> na naslovnici internetske stranice putem koje se savjetovanje provodi</w:t>
      </w:r>
      <w:r w:rsidR="00D03487">
        <w:rPr>
          <w:rFonts w:ascii="Cambria" w:hAnsi="Cambria"/>
          <w:sz w:val="24"/>
          <w:szCs w:val="24"/>
        </w:rPr>
        <w:t>,</w:t>
      </w:r>
      <w:r w:rsidR="00BE5093" w:rsidRPr="00AB758C">
        <w:rPr>
          <w:rFonts w:ascii="Cambria" w:hAnsi="Cambria"/>
          <w:sz w:val="24"/>
          <w:szCs w:val="24"/>
        </w:rPr>
        <w:t xml:space="preserve"> odnosno u posebnoj</w:t>
      </w:r>
      <w:r w:rsidR="00D03487">
        <w:rPr>
          <w:rFonts w:ascii="Cambria" w:hAnsi="Cambria"/>
          <w:sz w:val="24"/>
          <w:szCs w:val="24"/>
        </w:rPr>
        <w:t>,</w:t>
      </w:r>
      <w:r w:rsidR="00BE5093" w:rsidRPr="00AB758C">
        <w:rPr>
          <w:rFonts w:ascii="Cambria" w:hAnsi="Cambria"/>
          <w:sz w:val="24"/>
          <w:szCs w:val="24"/>
        </w:rPr>
        <w:t xml:space="preserve"> lako dostupnoj i vidljivoj kategoriji unutar koje se objavljuju informacije u vezi savjetovanja s javnošću. Ako se savjetovanje provodi putem državnog portala</w:t>
      </w:r>
      <w:r w:rsidR="00251049">
        <w:rPr>
          <w:rFonts w:ascii="Cambria" w:hAnsi="Cambria"/>
          <w:sz w:val="24"/>
          <w:szCs w:val="24"/>
        </w:rPr>
        <w:t xml:space="preserve"> e-savjetovanja</w:t>
      </w:r>
      <w:r w:rsidR="00BE5093" w:rsidRPr="00AB758C">
        <w:rPr>
          <w:rFonts w:ascii="Cambria" w:hAnsi="Cambria"/>
          <w:sz w:val="24"/>
          <w:szCs w:val="24"/>
        </w:rPr>
        <w:t xml:space="preserve">, </w:t>
      </w:r>
      <w:r w:rsidR="00D03487" w:rsidRPr="00AB758C">
        <w:rPr>
          <w:rFonts w:ascii="Cambria" w:hAnsi="Cambria"/>
          <w:sz w:val="24"/>
          <w:szCs w:val="24"/>
        </w:rPr>
        <w:t>informacij</w:t>
      </w:r>
      <w:r w:rsidR="00D03487">
        <w:rPr>
          <w:rFonts w:ascii="Cambria" w:hAnsi="Cambria"/>
          <w:sz w:val="24"/>
          <w:szCs w:val="24"/>
        </w:rPr>
        <w:t>u</w:t>
      </w:r>
      <w:r w:rsidR="00D03487" w:rsidRPr="00AB758C">
        <w:rPr>
          <w:rFonts w:ascii="Cambria" w:hAnsi="Cambria"/>
          <w:sz w:val="24"/>
          <w:szCs w:val="24"/>
        </w:rPr>
        <w:t xml:space="preserve"> </w:t>
      </w:r>
      <w:r w:rsidR="00BE5093" w:rsidRPr="00AB758C">
        <w:rPr>
          <w:rFonts w:ascii="Cambria" w:hAnsi="Cambria"/>
          <w:sz w:val="24"/>
          <w:szCs w:val="24"/>
        </w:rPr>
        <w:t xml:space="preserve">o savjetovanju </w:t>
      </w:r>
      <w:r w:rsidR="00D03487">
        <w:rPr>
          <w:rFonts w:ascii="Cambria" w:hAnsi="Cambria"/>
          <w:sz w:val="24"/>
          <w:szCs w:val="24"/>
        </w:rPr>
        <w:t>s</w:t>
      </w:r>
      <w:r w:rsidR="00D03487" w:rsidRPr="00AB758C">
        <w:rPr>
          <w:rFonts w:ascii="Cambria" w:hAnsi="Cambria"/>
          <w:sz w:val="24"/>
          <w:szCs w:val="24"/>
        </w:rPr>
        <w:t xml:space="preserve"> </w:t>
      </w:r>
      <w:r w:rsidR="00BE5093" w:rsidRPr="00AB758C">
        <w:rPr>
          <w:rFonts w:ascii="Cambria" w:hAnsi="Cambria"/>
          <w:sz w:val="24"/>
          <w:szCs w:val="24"/>
        </w:rPr>
        <w:t>poveznic</w:t>
      </w:r>
      <w:r w:rsidR="00D03487">
        <w:rPr>
          <w:rFonts w:ascii="Cambria" w:hAnsi="Cambria"/>
          <w:sz w:val="24"/>
          <w:szCs w:val="24"/>
        </w:rPr>
        <w:t>om</w:t>
      </w:r>
      <w:r w:rsidR="00BE5093" w:rsidRPr="00AB758C">
        <w:rPr>
          <w:rFonts w:ascii="Cambria" w:hAnsi="Cambria"/>
          <w:sz w:val="24"/>
          <w:szCs w:val="24"/>
        </w:rPr>
        <w:t xml:space="preserve"> treba </w:t>
      </w:r>
      <w:r w:rsidR="00D03487">
        <w:rPr>
          <w:rFonts w:ascii="Cambria" w:hAnsi="Cambria"/>
          <w:sz w:val="24"/>
          <w:szCs w:val="24"/>
        </w:rPr>
        <w:t>objaviti</w:t>
      </w:r>
      <w:r w:rsidR="00BE5093" w:rsidRPr="00AB758C">
        <w:rPr>
          <w:rFonts w:ascii="Cambria" w:hAnsi="Cambria"/>
          <w:sz w:val="24"/>
          <w:szCs w:val="24"/>
        </w:rPr>
        <w:t xml:space="preserve"> na internetskoj stranici tijela javne vlasti, kako bi zainteresirana javnost imala priliku saznati da se savjetovanje provodi.</w:t>
      </w:r>
    </w:p>
    <w:p w14:paraId="21057E6F" w14:textId="57C2BACA" w:rsidR="00BE5093" w:rsidRPr="00AB758C" w:rsidRDefault="00BE5093" w:rsidP="0041015B">
      <w:pPr>
        <w:jc w:val="both"/>
        <w:rPr>
          <w:rFonts w:ascii="Cambria" w:hAnsi="Cambria"/>
          <w:sz w:val="24"/>
          <w:szCs w:val="24"/>
        </w:rPr>
      </w:pPr>
      <w:r w:rsidRPr="00AB758C">
        <w:rPr>
          <w:rFonts w:ascii="Cambria" w:hAnsi="Cambria"/>
          <w:sz w:val="24"/>
          <w:szCs w:val="24"/>
        </w:rPr>
        <w:t>Savjetovanje s javnošću, onako kako je to propisano Zakonom o pravu na pristup informacija</w:t>
      </w:r>
      <w:r w:rsidR="004F6D77">
        <w:rPr>
          <w:rFonts w:ascii="Cambria" w:hAnsi="Cambria"/>
          <w:sz w:val="24"/>
          <w:szCs w:val="24"/>
        </w:rPr>
        <w:t>ma</w:t>
      </w:r>
      <w:r w:rsidRPr="00AB758C">
        <w:rPr>
          <w:rFonts w:ascii="Cambria" w:hAnsi="Cambria"/>
          <w:sz w:val="24"/>
          <w:szCs w:val="24"/>
        </w:rPr>
        <w:t xml:space="preserve">, traje u pravilu 30 dana. Savjetovanje može trajati kraće samo onda kad su nastupili izvanredni uvjeti radi kojih nije moguće provesti savjetovanje u zakonskom roku i u tom slučaju je razloge za skraćeno trajanje savjetovanja nužno </w:t>
      </w:r>
      <w:r w:rsidR="00D03487">
        <w:rPr>
          <w:rFonts w:ascii="Cambria" w:hAnsi="Cambria"/>
          <w:sz w:val="24"/>
          <w:szCs w:val="24"/>
        </w:rPr>
        <w:t>pojasniti</w:t>
      </w:r>
      <w:r w:rsidR="00D03487" w:rsidRPr="00AB758C">
        <w:rPr>
          <w:rFonts w:ascii="Cambria" w:hAnsi="Cambria"/>
          <w:sz w:val="24"/>
          <w:szCs w:val="24"/>
        </w:rPr>
        <w:t xml:space="preserve"> </w:t>
      </w:r>
      <w:r w:rsidRPr="00AB758C">
        <w:rPr>
          <w:rFonts w:ascii="Cambria" w:hAnsi="Cambria"/>
          <w:sz w:val="24"/>
          <w:szCs w:val="24"/>
        </w:rPr>
        <w:t>u obrazloženju uz dokument koji se stavlja na savjetovanje</w:t>
      </w:r>
      <w:r w:rsidR="00D03487">
        <w:rPr>
          <w:rFonts w:ascii="Cambria" w:hAnsi="Cambria"/>
          <w:sz w:val="24"/>
          <w:szCs w:val="24"/>
        </w:rPr>
        <w:t>.</w:t>
      </w:r>
    </w:p>
    <w:p w14:paraId="6AD03B0B" w14:textId="6BD0DCCA" w:rsidR="00BC0FED" w:rsidRPr="00AB758C" w:rsidRDefault="00BE5093" w:rsidP="0041015B">
      <w:pPr>
        <w:jc w:val="both"/>
        <w:rPr>
          <w:rFonts w:ascii="Cambria" w:hAnsi="Cambria"/>
          <w:sz w:val="24"/>
          <w:szCs w:val="24"/>
        </w:rPr>
      </w:pPr>
      <w:r w:rsidRPr="00AB758C">
        <w:rPr>
          <w:rFonts w:ascii="Cambria" w:hAnsi="Cambria"/>
          <w:sz w:val="24"/>
          <w:szCs w:val="24"/>
        </w:rPr>
        <w:t>Po isteku roka za dostavu mišljenja i prijedloga</w:t>
      </w:r>
      <w:r w:rsidR="00D03487">
        <w:rPr>
          <w:rFonts w:ascii="Cambria" w:hAnsi="Cambria"/>
          <w:sz w:val="24"/>
          <w:szCs w:val="24"/>
        </w:rPr>
        <w:t>,</w:t>
      </w:r>
      <w:r w:rsidRPr="00AB758C">
        <w:rPr>
          <w:rFonts w:ascii="Cambria" w:hAnsi="Cambria"/>
          <w:sz w:val="24"/>
          <w:szCs w:val="24"/>
        </w:rPr>
        <w:t xml:space="preserve"> tijelo javne vlasti</w:t>
      </w:r>
      <w:r w:rsidR="00D03487">
        <w:rPr>
          <w:rFonts w:ascii="Cambria" w:hAnsi="Cambria"/>
          <w:sz w:val="24"/>
          <w:szCs w:val="24"/>
        </w:rPr>
        <w:t xml:space="preserve"> je</w:t>
      </w:r>
      <w:r w:rsidRPr="00AB758C">
        <w:rPr>
          <w:rFonts w:ascii="Cambria" w:hAnsi="Cambria"/>
          <w:sz w:val="24"/>
          <w:szCs w:val="24"/>
        </w:rPr>
        <w:t xml:space="preserve"> dužno izraditi i objaviti </w:t>
      </w:r>
      <w:r w:rsidR="00D03487" w:rsidRPr="00AB758C">
        <w:rPr>
          <w:rFonts w:ascii="Cambria" w:hAnsi="Cambria"/>
          <w:sz w:val="24"/>
          <w:szCs w:val="24"/>
        </w:rPr>
        <w:t xml:space="preserve">izvješće o savjetovanju s javnošću </w:t>
      </w:r>
      <w:r w:rsidRPr="00AB758C">
        <w:rPr>
          <w:rFonts w:ascii="Cambria" w:hAnsi="Cambria"/>
          <w:sz w:val="24"/>
          <w:szCs w:val="24"/>
        </w:rPr>
        <w:t>na središnjem državnom internetskom portalu za savjetovanje s javnošću</w:t>
      </w:r>
      <w:r w:rsidR="00D03487">
        <w:rPr>
          <w:rFonts w:ascii="Cambria" w:hAnsi="Cambria"/>
          <w:sz w:val="24"/>
          <w:szCs w:val="24"/>
        </w:rPr>
        <w:t>,</w:t>
      </w:r>
      <w:r w:rsidRPr="00AB758C">
        <w:rPr>
          <w:rFonts w:ascii="Cambria" w:hAnsi="Cambria"/>
          <w:sz w:val="24"/>
          <w:szCs w:val="24"/>
        </w:rPr>
        <w:t xml:space="preserve"> odnosno internetskoj stranici</w:t>
      </w:r>
      <w:r w:rsidR="00D03487">
        <w:rPr>
          <w:rFonts w:ascii="Cambria" w:hAnsi="Cambria"/>
          <w:sz w:val="24"/>
          <w:szCs w:val="24"/>
        </w:rPr>
        <w:t>. Izvješće treba sadržavati</w:t>
      </w:r>
      <w:r w:rsidRPr="00AB758C">
        <w:rPr>
          <w:rFonts w:ascii="Cambria" w:hAnsi="Cambria"/>
          <w:sz w:val="24"/>
          <w:szCs w:val="24"/>
        </w:rPr>
        <w:t xml:space="preserve"> zaprimljene prijedloge i primjedbe te očitovanja s razlozima za neprihvaćanje pojedinih prijedloga i primjedbi. </w:t>
      </w:r>
    </w:p>
    <w:p w14:paraId="51760337" w14:textId="5B4329F3" w:rsidR="00BE5093" w:rsidRPr="00AB758C" w:rsidRDefault="00BE5093" w:rsidP="0041015B">
      <w:pPr>
        <w:jc w:val="both"/>
        <w:rPr>
          <w:rFonts w:ascii="Cambria" w:hAnsi="Cambria"/>
          <w:sz w:val="24"/>
          <w:szCs w:val="24"/>
        </w:rPr>
      </w:pPr>
      <w:r w:rsidRPr="00AB758C">
        <w:rPr>
          <w:rFonts w:ascii="Cambria" w:hAnsi="Cambria"/>
          <w:sz w:val="24"/>
          <w:szCs w:val="24"/>
        </w:rPr>
        <w:t xml:space="preserve">Zakonska je obveza tijela javne vlasti da predmetno izvješće o provedenom savjetovanju dostave tijelu koje usvaja ili donosi propis, opći akt ili dokument, kao sastavni dio dokumentacije. Na državnoj razini, ta je obveza </w:t>
      </w:r>
      <w:r w:rsidR="00251049">
        <w:rPr>
          <w:rFonts w:ascii="Cambria" w:hAnsi="Cambria"/>
          <w:sz w:val="24"/>
          <w:szCs w:val="24"/>
        </w:rPr>
        <w:t>propisana izmjenama i dopunama</w:t>
      </w:r>
      <w:r w:rsidRPr="00AB758C">
        <w:rPr>
          <w:rFonts w:ascii="Cambria" w:hAnsi="Cambria"/>
          <w:sz w:val="24"/>
          <w:szCs w:val="24"/>
        </w:rPr>
        <w:t xml:space="preserve"> Poslovnika Hrvatskog sabora (članak 174., stavak 4.) i Poslovnika Vlade Republike Hrvatske (članak 30., stavak 4), kojima je obveza dostave izvješća o provedenom savjetovanju izrijekom navedena. Isto se preporuča uvrstiti u poslovnike predstavničkih tijela jedinica lokalne i područne (regionalne) samouprave.</w:t>
      </w:r>
    </w:p>
    <w:p w14:paraId="37663650" w14:textId="77777777" w:rsidR="00BE5093" w:rsidRPr="00AB758C" w:rsidRDefault="00685F17" w:rsidP="00BE5093">
      <w:pPr>
        <w:jc w:val="both"/>
        <w:rPr>
          <w:rFonts w:ascii="Cambria" w:hAnsi="Cambria"/>
          <w:sz w:val="24"/>
          <w:szCs w:val="24"/>
        </w:rPr>
      </w:pPr>
      <w:r w:rsidRPr="00AB758C">
        <w:rPr>
          <w:rFonts w:ascii="Cambria" w:hAnsi="Cambria"/>
          <w:sz w:val="24"/>
          <w:szCs w:val="24"/>
        </w:rPr>
        <w:t>Na kraju je potrebno istaknuti da su t</w:t>
      </w:r>
      <w:r w:rsidR="00BE5093" w:rsidRPr="00AB758C">
        <w:rPr>
          <w:rFonts w:ascii="Cambria" w:hAnsi="Cambria"/>
          <w:sz w:val="24"/>
          <w:szCs w:val="24"/>
        </w:rPr>
        <w:t xml:space="preserve">ijela javne vlasti dužna donijeti i na svojoj internetskoj stranici objaviti plan savjetovanja s javnošću za kalendarsku godinu najkasnije do isteka </w:t>
      </w:r>
      <w:r w:rsidR="00BE5093" w:rsidRPr="00AB758C">
        <w:rPr>
          <w:rFonts w:ascii="Cambria" w:hAnsi="Cambria"/>
          <w:sz w:val="24"/>
          <w:szCs w:val="24"/>
        </w:rPr>
        <w:lastRenderedPageBreak/>
        <w:t>prethodne kalendarske godine. O izmjenama plana savjetovanja</w:t>
      </w:r>
      <w:r w:rsidR="00E70E3C">
        <w:rPr>
          <w:rFonts w:ascii="Cambria" w:hAnsi="Cambria"/>
          <w:sz w:val="24"/>
          <w:szCs w:val="24"/>
        </w:rPr>
        <w:t>,</w:t>
      </w:r>
      <w:r w:rsidR="00BE5093" w:rsidRPr="00AB758C">
        <w:rPr>
          <w:rFonts w:ascii="Cambria" w:hAnsi="Cambria"/>
          <w:sz w:val="24"/>
          <w:szCs w:val="24"/>
        </w:rPr>
        <w:t xml:space="preserve"> tijelo javne vlasti dužno je istim putem izvijestiti javnost. </w:t>
      </w:r>
    </w:p>
    <w:p w14:paraId="673E7307" w14:textId="6795357D" w:rsidR="00BE5093" w:rsidRPr="00AB758C" w:rsidRDefault="00BE5093" w:rsidP="00BE5093">
      <w:pPr>
        <w:jc w:val="both"/>
        <w:rPr>
          <w:rFonts w:ascii="Cambria" w:hAnsi="Cambria"/>
          <w:sz w:val="24"/>
          <w:szCs w:val="24"/>
        </w:rPr>
      </w:pPr>
      <w:r w:rsidRPr="00AB758C">
        <w:rPr>
          <w:rFonts w:ascii="Cambria" w:hAnsi="Cambria"/>
          <w:sz w:val="24"/>
          <w:szCs w:val="24"/>
        </w:rPr>
        <w:t xml:space="preserve">Plan savjetovanja s javnošću sadrži naziv propisa, općeg akta ili dokumenta za koji se provodi savjetovanje, očekivano vrijeme njegova donošenja ili usvajanja, okvirno vrijeme provedbe internetskog savjetovanja te druge predviđene načine na koje se namjerava provesti savjetovanje, kao što su javne rasprave, distribucija nacrta propisa zainteresiranoj javnosti elektroničkom poštom, </w:t>
      </w:r>
      <w:r w:rsidR="00E70E3C">
        <w:rPr>
          <w:rFonts w:ascii="Cambria" w:hAnsi="Cambria"/>
          <w:sz w:val="24"/>
          <w:szCs w:val="24"/>
        </w:rPr>
        <w:t>organiziranje</w:t>
      </w:r>
      <w:r w:rsidRPr="00AB758C">
        <w:rPr>
          <w:rFonts w:ascii="Cambria" w:hAnsi="Cambria"/>
          <w:sz w:val="24"/>
          <w:szCs w:val="24"/>
        </w:rPr>
        <w:t xml:space="preserve"> radni</w:t>
      </w:r>
      <w:r w:rsidR="00E70E3C">
        <w:rPr>
          <w:rFonts w:ascii="Cambria" w:hAnsi="Cambria"/>
          <w:sz w:val="24"/>
          <w:szCs w:val="24"/>
        </w:rPr>
        <w:t>h</w:t>
      </w:r>
      <w:r w:rsidRPr="00AB758C">
        <w:rPr>
          <w:rFonts w:ascii="Cambria" w:hAnsi="Cambria"/>
          <w:sz w:val="24"/>
          <w:szCs w:val="24"/>
        </w:rPr>
        <w:t xml:space="preserve"> skupina i drugo.</w:t>
      </w:r>
    </w:p>
    <w:p w14:paraId="61CFB6D2" w14:textId="77777777" w:rsidR="008028F8" w:rsidRPr="00AB758C" w:rsidRDefault="008028F8" w:rsidP="00E016E7">
      <w:pPr>
        <w:pStyle w:val="Heading2"/>
        <w:spacing w:after="120"/>
      </w:pPr>
      <w:bookmarkStart w:id="8" w:name="_Toc4076867"/>
      <w:r w:rsidRPr="00AB758C">
        <w:t>2.2. R</w:t>
      </w:r>
      <w:r w:rsidR="00EB4EBC">
        <w:t xml:space="preserve">epublika Hrvatska </w:t>
      </w:r>
      <w:r w:rsidRPr="00AB758C">
        <w:t>u međunarodnom kontekstu</w:t>
      </w:r>
      <w:bookmarkEnd w:id="8"/>
    </w:p>
    <w:p w14:paraId="78A589FA" w14:textId="77777777" w:rsidR="00BE5093" w:rsidRPr="00AB758C" w:rsidRDefault="00AF75B7" w:rsidP="00A3639F">
      <w:pPr>
        <w:jc w:val="both"/>
        <w:rPr>
          <w:rFonts w:ascii="Cambria" w:hAnsi="Cambria"/>
          <w:sz w:val="24"/>
          <w:szCs w:val="24"/>
        </w:rPr>
      </w:pPr>
      <w:r>
        <w:rPr>
          <w:rFonts w:ascii="Cambria" w:hAnsi="Cambria"/>
          <w:sz w:val="24"/>
          <w:szCs w:val="24"/>
        </w:rPr>
        <w:t>Normiranjem</w:t>
      </w:r>
      <w:r w:rsidR="00BE5093" w:rsidRPr="00AB758C">
        <w:rPr>
          <w:rFonts w:ascii="Cambria" w:hAnsi="Cambria"/>
          <w:sz w:val="24"/>
          <w:szCs w:val="24"/>
        </w:rPr>
        <w:t xml:space="preserve"> </w:t>
      </w:r>
      <w:r>
        <w:rPr>
          <w:rFonts w:ascii="Cambria" w:hAnsi="Cambria"/>
          <w:sz w:val="24"/>
          <w:szCs w:val="24"/>
        </w:rPr>
        <w:t>postupaka</w:t>
      </w:r>
      <w:r w:rsidR="00BE5093" w:rsidRPr="00AB758C">
        <w:rPr>
          <w:rFonts w:ascii="Cambria" w:hAnsi="Cambria"/>
          <w:sz w:val="24"/>
          <w:szCs w:val="24"/>
        </w:rPr>
        <w:t xml:space="preserve"> za provedbu savjetovanja sa zainteresiranom javnošću Republika Hrvatska svrstala se uz zemlje razvijene demokracije s praksom uključivanja javnosti u procese kreiranja javnih politika</w:t>
      </w:r>
      <w:r w:rsidR="00A3639F" w:rsidRPr="00AB758C">
        <w:rPr>
          <w:rFonts w:ascii="Cambria" w:hAnsi="Cambria"/>
          <w:sz w:val="24"/>
          <w:szCs w:val="24"/>
        </w:rPr>
        <w:t>.</w:t>
      </w:r>
    </w:p>
    <w:p w14:paraId="01AB270C" w14:textId="77777777" w:rsidR="00480A92" w:rsidRPr="00AB758C" w:rsidRDefault="00706C9B" w:rsidP="00A3639F">
      <w:pPr>
        <w:jc w:val="both"/>
        <w:rPr>
          <w:rFonts w:ascii="Cambria" w:hAnsi="Cambria"/>
          <w:sz w:val="24"/>
          <w:szCs w:val="24"/>
        </w:rPr>
      </w:pPr>
      <w:r w:rsidRPr="00AB758C">
        <w:rPr>
          <w:rFonts w:ascii="Cambria" w:hAnsi="Cambria"/>
          <w:sz w:val="24"/>
          <w:szCs w:val="24"/>
        </w:rPr>
        <w:t xml:space="preserve">Uspostavom središnjeg državnog portala za savjetovanja </w:t>
      </w:r>
      <w:r w:rsidR="00480A92" w:rsidRPr="00AB758C">
        <w:rPr>
          <w:rFonts w:ascii="Cambria" w:hAnsi="Cambria"/>
          <w:sz w:val="24"/>
          <w:szCs w:val="24"/>
        </w:rPr>
        <w:t>e-Savjetovanja</w:t>
      </w:r>
      <w:r w:rsidR="00EB4EBC">
        <w:rPr>
          <w:rFonts w:ascii="Cambria" w:hAnsi="Cambria"/>
          <w:sz w:val="24"/>
          <w:szCs w:val="24"/>
        </w:rPr>
        <w:t>,</w:t>
      </w:r>
      <w:r w:rsidR="00480A92" w:rsidRPr="00AB758C">
        <w:rPr>
          <w:rFonts w:ascii="Cambria" w:hAnsi="Cambria"/>
          <w:sz w:val="24"/>
          <w:szCs w:val="24"/>
        </w:rPr>
        <w:t xml:space="preserve"> </w:t>
      </w:r>
      <w:r w:rsidRPr="00AB758C">
        <w:rPr>
          <w:rFonts w:ascii="Cambria" w:hAnsi="Cambria"/>
          <w:sz w:val="24"/>
          <w:szCs w:val="24"/>
        </w:rPr>
        <w:t xml:space="preserve">Hrvatska je napravila daljnji iskorak u razvoju sustava savjetovanja sa zainteresiranom javnošću koji je prepoznat i na međunarodnoj razini. </w:t>
      </w:r>
    </w:p>
    <w:p w14:paraId="1E05A824" w14:textId="3AAD29A4" w:rsidR="00706C9B" w:rsidRPr="00AB758C" w:rsidRDefault="00A3639F" w:rsidP="00EB4EBC">
      <w:pPr>
        <w:jc w:val="both"/>
        <w:rPr>
          <w:rFonts w:ascii="Cambria" w:hAnsi="Cambria"/>
          <w:sz w:val="24"/>
          <w:szCs w:val="24"/>
        </w:rPr>
      </w:pPr>
      <w:r w:rsidRPr="00AB758C">
        <w:rPr>
          <w:rFonts w:ascii="Cambria" w:hAnsi="Cambria"/>
          <w:sz w:val="24"/>
          <w:szCs w:val="24"/>
        </w:rPr>
        <w:t xml:space="preserve">Partnerstvo za otvorenu vlast, </w:t>
      </w:r>
      <w:r w:rsidR="00706C9B" w:rsidRPr="00AB758C">
        <w:rPr>
          <w:rFonts w:ascii="Cambria" w:hAnsi="Cambria"/>
          <w:sz w:val="24"/>
          <w:szCs w:val="24"/>
        </w:rPr>
        <w:t>multilateralna inicijativa čiji je cilj osigurati konkretan napredak na području transparentnosti i otvorenosti rada tijela javne vlasti, uključivanja i osnaživanja građana i civilnoga društva, borbe protiv korupcije te korištenja novih tehnologija za poboljšanje kvalitete usluga koje javna uprava pruža građanima</w:t>
      </w:r>
      <w:r w:rsidRPr="00AB758C">
        <w:rPr>
          <w:rFonts w:ascii="Cambria" w:hAnsi="Cambria"/>
          <w:sz w:val="24"/>
          <w:szCs w:val="24"/>
        </w:rPr>
        <w:t>, čija je</w:t>
      </w:r>
      <w:r w:rsidR="00EB4EBC">
        <w:rPr>
          <w:rFonts w:ascii="Cambria" w:hAnsi="Cambria"/>
          <w:sz w:val="24"/>
          <w:szCs w:val="24"/>
        </w:rPr>
        <w:t xml:space="preserve"> članica od 2011. i</w:t>
      </w:r>
      <w:r w:rsidR="00706C9B" w:rsidRPr="00AB758C">
        <w:rPr>
          <w:rFonts w:ascii="Cambria" w:hAnsi="Cambria"/>
          <w:sz w:val="24"/>
          <w:szCs w:val="24"/>
        </w:rPr>
        <w:t xml:space="preserve"> </w:t>
      </w:r>
      <w:r w:rsidR="00EB4EBC">
        <w:rPr>
          <w:rFonts w:ascii="Cambria" w:hAnsi="Cambria"/>
          <w:sz w:val="24"/>
          <w:szCs w:val="24"/>
        </w:rPr>
        <w:t xml:space="preserve">Republika Hrvatska, </w:t>
      </w:r>
      <w:r w:rsidRPr="00AB758C">
        <w:rPr>
          <w:rFonts w:ascii="Cambria" w:hAnsi="Cambria"/>
          <w:sz w:val="24"/>
          <w:szCs w:val="24"/>
        </w:rPr>
        <w:t>prepoznala je sustav e-Savjetovanja kao primjer dobre prakse u jačanju transparentnosti rad</w:t>
      </w:r>
      <w:r w:rsidR="00E70E3C">
        <w:rPr>
          <w:rFonts w:ascii="Cambria" w:hAnsi="Cambria"/>
          <w:sz w:val="24"/>
          <w:szCs w:val="24"/>
        </w:rPr>
        <w:t>a</w:t>
      </w:r>
      <w:r w:rsidRPr="00AB758C">
        <w:rPr>
          <w:rFonts w:ascii="Cambria" w:hAnsi="Cambria"/>
          <w:sz w:val="24"/>
          <w:szCs w:val="24"/>
        </w:rPr>
        <w:t xml:space="preserve"> javne uprave. </w:t>
      </w:r>
      <w:r w:rsidR="00EB4EBC">
        <w:rPr>
          <w:rFonts w:ascii="Cambria" w:hAnsi="Cambria"/>
          <w:sz w:val="24"/>
          <w:szCs w:val="24"/>
        </w:rPr>
        <w:t xml:space="preserve"> </w:t>
      </w:r>
      <w:r w:rsidRPr="00AB758C">
        <w:rPr>
          <w:rFonts w:ascii="Cambria" w:hAnsi="Cambria"/>
          <w:sz w:val="24"/>
          <w:szCs w:val="24"/>
        </w:rPr>
        <w:t>Predstavnici Ureda za udruge Vlade Republike Hrvatske predstavljali su hrvatska iskustva u provedbi savjetovanja sa zainteresiranom javnošću na međunarodnim samitima u Parizu (201</w:t>
      </w:r>
      <w:r w:rsidR="001830ED">
        <w:rPr>
          <w:rFonts w:ascii="Cambria" w:hAnsi="Cambria"/>
          <w:sz w:val="24"/>
          <w:szCs w:val="24"/>
        </w:rPr>
        <w:t>6</w:t>
      </w:r>
      <w:r w:rsidRPr="00AB758C">
        <w:rPr>
          <w:rFonts w:ascii="Cambria" w:hAnsi="Cambria"/>
          <w:sz w:val="24"/>
          <w:szCs w:val="24"/>
        </w:rPr>
        <w:t>.) te Tbilisiju (2018.).</w:t>
      </w:r>
    </w:p>
    <w:p w14:paraId="5A102A12" w14:textId="1C7F7AC1" w:rsidR="00480A92" w:rsidRPr="00AB758C" w:rsidRDefault="00706C9B" w:rsidP="00765768">
      <w:pPr>
        <w:jc w:val="both"/>
        <w:rPr>
          <w:rFonts w:ascii="Cambria" w:hAnsi="Cambria"/>
          <w:sz w:val="24"/>
          <w:szCs w:val="24"/>
        </w:rPr>
      </w:pPr>
      <w:r w:rsidRPr="00AB758C">
        <w:rPr>
          <w:rFonts w:ascii="Cambria" w:hAnsi="Cambria"/>
          <w:sz w:val="24"/>
          <w:szCs w:val="24"/>
        </w:rPr>
        <w:t>Organizacij</w:t>
      </w:r>
      <w:r w:rsidR="00EB4EBC">
        <w:rPr>
          <w:rFonts w:ascii="Cambria" w:hAnsi="Cambria"/>
          <w:sz w:val="24"/>
          <w:szCs w:val="24"/>
        </w:rPr>
        <w:t>a</w:t>
      </w:r>
      <w:r w:rsidRPr="00AB758C">
        <w:rPr>
          <w:rFonts w:ascii="Cambria" w:hAnsi="Cambria"/>
          <w:sz w:val="24"/>
          <w:szCs w:val="24"/>
        </w:rPr>
        <w:t xml:space="preserve"> za ekonomsku suradnju i razvoj </w:t>
      </w:r>
      <w:r w:rsidR="00AB758C" w:rsidRPr="00AB758C">
        <w:rPr>
          <w:rFonts w:ascii="Cambria" w:hAnsi="Cambria"/>
          <w:sz w:val="24"/>
          <w:szCs w:val="24"/>
        </w:rPr>
        <w:t>(</w:t>
      </w:r>
      <w:r w:rsidR="00480A92" w:rsidRPr="00AB758C">
        <w:rPr>
          <w:rFonts w:ascii="Cambria" w:hAnsi="Cambria"/>
          <w:sz w:val="24"/>
          <w:szCs w:val="24"/>
        </w:rPr>
        <w:t>OECD</w:t>
      </w:r>
      <w:r w:rsidR="00AB758C" w:rsidRPr="00AB758C">
        <w:rPr>
          <w:rFonts w:ascii="Cambria" w:hAnsi="Cambria"/>
          <w:sz w:val="24"/>
          <w:szCs w:val="24"/>
        </w:rPr>
        <w:t>)</w:t>
      </w:r>
      <w:r w:rsidRPr="00AB758C">
        <w:rPr>
          <w:rFonts w:ascii="Cambria" w:hAnsi="Cambria"/>
          <w:sz w:val="24"/>
          <w:szCs w:val="24"/>
        </w:rPr>
        <w:t xml:space="preserve"> u svo</w:t>
      </w:r>
      <w:r w:rsidR="00890629">
        <w:rPr>
          <w:rFonts w:ascii="Cambria" w:hAnsi="Cambria"/>
          <w:sz w:val="24"/>
          <w:szCs w:val="24"/>
        </w:rPr>
        <w:t xml:space="preserve">m izvješću iz ožujka 2019. </w:t>
      </w:r>
      <w:r w:rsidRPr="00AB758C">
        <w:rPr>
          <w:rFonts w:ascii="Cambria" w:hAnsi="Cambria"/>
          <w:sz w:val="24"/>
          <w:szCs w:val="24"/>
        </w:rPr>
        <w:t>vezan</w:t>
      </w:r>
      <w:r w:rsidR="00890629">
        <w:rPr>
          <w:rFonts w:ascii="Cambria" w:hAnsi="Cambria"/>
          <w:sz w:val="24"/>
          <w:szCs w:val="24"/>
        </w:rPr>
        <w:t>om</w:t>
      </w:r>
      <w:r w:rsidRPr="00AB758C">
        <w:rPr>
          <w:rFonts w:ascii="Cambria" w:hAnsi="Cambria"/>
          <w:sz w:val="24"/>
          <w:szCs w:val="24"/>
        </w:rPr>
        <w:t xml:space="preserve"> za uključivanje javnosti</w:t>
      </w:r>
      <w:r w:rsidR="000E7087">
        <w:rPr>
          <w:rFonts w:ascii="Cambria" w:hAnsi="Cambria"/>
          <w:sz w:val="24"/>
          <w:szCs w:val="24"/>
        </w:rPr>
        <w:t xml:space="preserve"> u procese kreiranja javnih politika</w:t>
      </w:r>
      <w:r w:rsidRPr="00AB758C">
        <w:rPr>
          <w:rFonts w:ascii="Cambria" w:hAnsi="Cambria"/>
          <w:sz w:val="24"/>
          <w:szCs w:val="24"/>
        </w:rPr>
        <w:t xml:space="preserve"> </w:t>
      </w:r>
      <w:r w:rsidR="000E7087">
        <w:rPr>
          <w:rFonts w:ascii="Cambria" w:hAnsi="Cambria"/>
          <w:sz w:val="24"/>
          <w:szCs w:val="24"/>
        </w:rPr>
        <w:t xml:space="preserve">te </w:t>
      </w:r>
      <w:r w:rsidRPr="00AB758C">
        <w:rPr>
          <w:rFonts w:ascii="Cambria" w:hAnsi="Cambria"/>
          <w:sz w:val="24"/>
          <w:szCs w:val="24"/>
        </w:rPr>
        <w:t>prakse vezane za dobro upravljanje u Europi</w:t>
      </w:r>
      <w:r w:rsidR="00890629">
        <w:rPr>
          <w:rFonts w:ascii="Cambria" w:hAnsi="Cambria"/>
          <w:sz w:val="24"/>
          <w:szCs w:val="24"/>
        </w:rPr>
        <w:t xml:space="preserve">, </w:t>
      </w:r>
      <w:r w:rsidR="00890629" w:rsidRPr="00890629">
        <w:rPr>
          <w:rFonts w:ascii="Cambria" w:hAnsi="Cambria"/>
          <w:sz w:val="24"/>
          <w:szCs w:val="24"/>
        </w:rPr>
        <w:t>„Prakse Boljih propisa diljem Europske unije“</w:t>
      </w:r>
      <w:r w:rsidRPr="00AB758C">
        <w:rPr>
          <w:rFonts w:ascii="Cambria" w:hAnsi="Cambria"/>
          <w:sz w:val="24"/>
          <w:szCs w:val="24"/>
        </w:rPr>
        <w:t xml:space="preserve"> </w:t>
      </w:r>
      <w:r w:rsidR="00AB758C" w:rsidRPr="00AB758C">
        <w:rPr>
          <w:rFonts w:ascii="Cambria" w:hAnsi="Cambria"/>
          <w:sz w:val="24"/>
          <w:szCs w:val="24"/>
        </w:rPr>
        <w:t xml:space="preserve">navodi da Republika Hrvatska </w:t>
      </w:r>
      <w:r w:rsidRPr="00AB758C">
        <w:rPr>
          <w:rFonts w:ascii="Cambria" w:hAnsi="Cambria"/>
          <w:sz w:val="24"/>
          <w:szCs w:val="24"/>
        </w:rPr>
        <w:t>bilježi izvrsne rezultate u kontekstu savje</w:t>
      </w:r>
      <w:r w:rsidR="00AB758C" w:rsidRPr="00AB758C">
        <w:rPr>
          <w:rFonts w:ascii="Cambria" w:hAnsi="Cambria"/>
          <w:sz w:val="24"/>
          <w:szCs w:val="24"/>
        </w:rPr>
        <w:t>tovanja (iznad prosjeka OECD-a).</w:t>
      </w:r>
      <w:r w:rsidR="00890629">
        <w:rPr>
          <w:rFonts w:ascii="Cambria" w:hAnsi="Cambria"/>
          <w:sz w:val="24"/>
          <w:szCs w:val="24"/>
        </w:rPr>
        <w:t xml:space="preserve"> </w:t>
      </w:r>
      <w:r w:rsidR="00890629" w:rsidRPr="00890629">
        <w:rPr>
          <w:rFonts w:ascii="Cambria" w:hAnsi="Cambria"/>
          <w:sz w:val="24"/>
          <w:szCs w:val="24"/>
        </w:rPr>
        <w:t>Kako se navodi u izvješću, Hrvatska sistematski provodi savjetovanja s predstavnicima civilnog društva, poslovnog sektora i akademske zajednice već u ranoj fazi zakonodavnog procesa. Kao primjer dobre prakse, navodi se portal e-Savjetovanja kao uspješna interaktivna platforma za provođenje savjetovanja sa zainteresiranom javnošću</w:t>
      </w:r>
      <w:r w:rsidR="00890629">
        <w:rPr>
          <w:rStyle w:val="FootnoteReference"/>
          <w:rFonts w:ascii="Cambria" w:hAnsi="Cambria"/>
          <w:sz w:val="24"/>
          <w:szCs w:val="24"/>
        </w:rPr>
        <w:footnoteReference w:id="3"/>
      </w:r>
      <w:r w:rsidR="00890629" w:rsidRPr="00890629">
        <w:rPr>
          <w:rFonts w:ascii="Cambria" w:hAnsi="Cambria"/>
          <w:sz w:val="24"/>
          <w:szCs w:val="24"/>
        </w:rPr>
        <w:t>.</w:t>
      </w:r>
    </w:p>
    <w:p w14:paraId="392ADFD6" w14:textId="77777777" w:rsidR="00480A92" w:rsidRPr="00AB758C" w:rsidRDefault="00AB758C" w:rsidP="00765768">
      <w:pPr>
        <w:jc w:val="both"/>
        <w:rPr>
          <w:rFonts w:ascii="Cambria" w:hAnsi="Cambria"/>
          <w:sz w:val="24"/>
          <w:szCs w:val="24"/>
        </w:rPr>
      </w:pPr>
      <w:r w:rsidRPr="00EB4EBC">
        <w:rPr>
          <w:rFonts w:ascii="Cambria" w:hAnsi="Cambria"/>
          <w:sz w:val="24"/>
          <w:szCs w:val="24"/>
        </w:rPr>
        <w:t>Ured za demokratske institucije i ljudska prava pri Organizaciji za europsku sigurnost i suradnju (OSCE/ODIHR)</w:t>
      </w:r>
      <w:r w:rsidR="00706C9B" w:rsidRPr="00EB4EBC">
        <w:rPr>
          <w:rFonts w:ascii="Cambria" w:hAnsi="Cambria"/>
          <w:sz w:val="24"/>
          <w:szCs w:val="24"/>
        </w:rPr>
        <w:t xml:space="preserve"> </w:t>
      </w:r>
      <w:r w:rsidR="00EB4EBC">
        <w:rPr>
          <w:rFonts w:ascii="Cambria" w:hAnsi="Cambria"/>
          <w:sz w:val="24"/>
          <w:szCs w:val="24"/>
        </w:rPr>
        <w:t xml:space="preserve">ističe iskustva Hrvatske kao primjer dobre prakse u provedbi savjetovanja s javnošću. U sklopu jačanja kapaciteta tijela državne uprave u </w:t>
      </w:r>
      <w:r w:rsidR="00706C9B" w:rsidRPr="00EB4EBC">
        <w:rPr>
          <w:rFonts w:ascii="Cambria" w:hAnsi="Cambria"/>
          <w:sz w:val="24"/>
          <w:szCs w:val="24"/>
        </w:rPr>
        <w:t>Ukrajin</w:t>
      </w:r>
      <w:r w:rsidR="00EB4EBC">
        <w:rPr>
          <w:rFonts w:ascii="Cambria" w:hAnsi="Cambria"/>
          <w:sz w:val="24"/>
          <w:szCs w:val="24"/>
        </w:rPr>
        <w:t>i za provedbu savjetovanja s javnošću, a u suradnji s ODIHR, u 2018. organiziran je studijski posjet predstavnika ukrajinskih institucija Uredu za udruge.</w:t>
      </w:r>
    </w:p>
    <w:p w14:paraId="2A4B3FE7" w14:textId="711D0720" w:rsidR="00890629" w:rsidRPr="00AB758C" w:rsidRDefault="00AB758C" w:rsidP="00890629">
      <w:pPr>
        <w:jc w:val="both"/>
        <w:rPr>
          <w:rFonts w:ascii="Cambria" w:hAnsi="Cambria"/>
          <w:sz w:val="24"/>
          <w:szCs w:val="24"/>
        </w:rPr>
      </w:pPr>
      <w:r w:rsidRPr="00AB758C">
        <w:rPr>
          <w:rFonts w:ascii="Cambria" w:hAnsi="Cambria"/>
          <w:sz w:val="24"/>
          <w:szCs w:val="24"/>
        </w:rPr>
        <w:lastRenderedPageBreak/>
        <w:t>Bitno je naglasiti i da je Republika Hrvatska tijekom proteklih godina dijelila dobru praksu u provedbi savjetovanja s javnošću u z</w:t>
      </w:r>
      <w:r w:rsidR="00706C9B" w:rsidRPr="00AB758C">
        <w:rPr>
          <w:rFonts w:ascii="Cambria" w:hAnsi="Cambria"/>
          <w:sz w:val="24"/>
          <w:szCs w:val="24"/>
        </w:rPr>
        <w:t>emlj</w:t>
      </w:r>
      <w:r w:rsidRPr="00AB758C">
        <w:rPr>
          <w:rFonts w:ascii="Cambria" w:hAnsi="Cambria"/>
          <w:sz w:val="24"/>
          <w:szCs w:val="24"/>
        </w:rPr>
        <w:t>ama</w:t>
      </w:r>
      <w:r w:rsidR="00706C9B" w:rsidRPr="00AB758C">
        <w:rPr>
          <w:rFonts w:ascii="Cambria" w:hAnsi="Cambria"/>
          <w:sz w:val="24"/>
          <w:szCs w:val="24"/>
        </w:rPr>
        <w:t xml:space="preserve"> Jugoistočne Europe</w:t>
      </w:r>
      <w:r w:rsidR="00EB4EBC">
        <w:rPr>
          <w:rFonts w:ascii="Cambria" w:hAnsi="Cambria"/>
          <w:sz w:val="24"/>
          <w:szCs w:val="24"/>
        </w:rPr>
        <w:t xml:space="preserve"> kroz razne projekte</w:t>
      </w:r>
      <w:r w:rsidR="00247A95">
        <w:rPr>
          <w:rFonts w:ascii="Cambria" w:hAnsi="Cambria"/>
          <w:sz w:val="24"/>
          <w:szCs w:val="24"/>
        </w:rPr>
        <w:t xml:space="preserve"> </w:t>
      </w:r>
      <w:r w:rsidR="0012496F">
        <w:rPr>
          <w:rFonts w:ascii="Cambria" w:hAnsi="Cambria"/>
          <w:sz w:val="24"/>
          <w:szCs w:val="24"/>
        </w:rPr>
        <w:t xml:space="preserve">i studijske posjete </w:t>
      </w:r>
      <w:r w:rsidRPr="00AB758C">
        <w:rPr>
          <w:rFonts w:ascii="Cambria" w:hAnsi="Cambria"/>
          <w:sz w:val="24"/>
          <w:szCs w:val="24"/>
        </w:rPr>
        <w:t>(</w:t>
      </w:r>
      <w:r w:rsidR="00706C9B" w:rsidRPr="00AB758C">
        <w:rPr>
          <w:rFonts w:ascii="Cambria" w:hAnsi="Cambria"/>
          <w:sz w:val="24"/>
          <w:szCs w:val="24"/>
        </w:rPr>
        <w:t>Albanij</w:t>
      </w:r>
      <w:r w:rsidRPr="00AB758C">
        <w:rPr>
          <w:rFonts w:ascii="Cambria" w:hAnsi="Cambria"/>
          <w:sz w:val="24"/>
          <w:szCs w:val="24"/>
        </w:rPr>
        <w:t>a</w:t>
      </w:r>
      <w:r w:rsidR="00706C9B" w:rsidRPr="00AB758C">
        <w:rPr>
          <w:rFonts w:ascii="Cambria" w:hAnsi="Cambria"/>
          <w:sz w:val="24"/>
          <w:szCs w:val="24"/>
        </w:rPr>
        <w:t>, Crna Gora, Makedonija</w:t>
      </w:r>
      <w:r w:rsidRPr="00AB758C">
        <w:rPr>
          <w:rFonts w:ascii="Cambria" w:hAnsi="Cambria"/>
          <w:sz w:val="24"/>
          <w:szCs w:val="24"/>
        </w:rPr>
        <w:t>)</w:t>
      </w:r>
      <w:r w:rsidR="00890629">
        <w:rPr>
          <w:rFonts w:ascii="Cambria" w:hAnsi="Cambria"/>
          <w:sz w:val="24"/>
          <w:szCs w:val="24"/>
        </w:rPr>
        <w:t>.</w:t>
      </w:r>
    </w:p>
    <w:p w14:paraId="0BA70ABE" w14:textId="77777777" w:rsidR="008028F8" w:rsidRDefault="00015400" w:rsidP="00015400">
      <w:pPr>
        <w:pStyle w:val="Heading1"/>
        <w:rPr>
          <w:b/>
        </w:rPr>
      </w:pPr>
      <w:bookmarkStart w:id="9" w:name="_Toc4076868"/>
      <w:r w:rsidRPr="00015400">
        <w:rPr>
          <w:b/>
        </w:rPr>
        <w:t>3. JAČANJE KAPACITETA TIJELA DRŽAVNE UPRAVE ZA PROVEDBU SAVJETOVANJA</w:t>
      </w:r>
      <w:bookmarkEnd w:id="9"/>
    </w:p>
    <w:p w14:paraId="2253D7DE" w14:textId="77777777" w:rsidR="0012496F" w:rsidRPr="0012496F" w:rsidRDefault="0012496F" w:rsidP="0012496F"/>
    <w:p w14:paraId="058D2603" w14:textId="6269BB40" w:rsidR="005D45BE" w:rsidRPr="00AB758C" w:rsidRDefault="005D45BE" w:rsidP="005D45BE">
      <w:pPr>
        <w:spacing w:line="276" w:lineRule="auto"/>
        <w:jc w:val="both"/>
        <w:rPr>
          <w:rFonts w:ascii="Cambria" w:eastAsia="Calibri" w:hAnsi="Cambria" w:cs="Calibri"/>
          <w:sz w:val="24"/>
          <w:szCs w:val="24"/>
        </w:rPr>
      </w:pPr>
      <w:r w:rsidRPr="00AB758C">
        <w:rPr>
          <w:rFonts w:ascii="Cambria" w:eastAsia="Calibri" w:hAnsi="Cambria" w:cs="Calibri"/>
          <w:sz w:val="24"/>
          <w:szCs w:val="24"/>
        </w:rPr>
        <w:t>U svrhu jačanja kapaciteta tijela državne uprave za provedbu savjetovanja sa zainteresiranom javnošću</w:t>
      </w:r>
      <w:r w:rsidR="00500D11">
        <w:rPr>
          <w:rFonts w:ascii="Cambria" w:eastAsia="Calibri" w:hAnsi="Cambria" w:cs="Calibri"/>
          <w:sz w:val="24"/>
          <w:szCs w:val="24"/>
        </w:rPr>
        <w:t>,</w:t>
      </w:r>
      <w:r w:rsidRPr="00AB758C">
        <w:rPr>
          <w:rFonts w:ascii="Cambria" w:eastAsia="Calibri" w:hAnsi="Cambria" w:cs="Calibri"/>
          <w:sz w:val="24"/>
          <w:szCs w:val="24"/>
        </w:rPr>
        <w:t xml:space="preserve"> Ured za udruge, od donošenja </w:t>
      </w:r>
      <w:r w:rsidRPr="00AB758C">
        <w:rPr>
          <w:rFonts w:ascii="Cambria" w:eastAsia="Calibri" w:hAnsi="Cambria" w:cs="Calibri"/>
          <w:i/>
          <w:sz w:val="24"/>
          <w:szCs w:val="24"/>
        </w:rPr>
        <w:t>Kodeksa savjetovanja sa zainteresiranom javnošću u postupcima donošenja zakona, drugih propisa i akata,</w:t>
      </w:r>
      <w:r w:rsidRPr="00AB758C">
        <w:rPr>
          <w:rFonts w:ascii="Cambria" w:eastAsia="Calibri" w:hAnsi="Cambria" w:cs="Calibri"/>
          <w:sz w:val="24"/>
          <w:szCs w:val="24"/>
        </w:rPr>
        <w:t xml:space="preserve"> provodi edukativne radionice namijenjene službenicima u tijelima državne uprave</w:t>
      </w:r>
      <w:r w:rsidR="00500D11">
        <w:rPr>
          <w:rFonts w:ascii="Cambria" w:eastAsia="Calibri" w:hAnsi="Cambria" w:cs="Calibri"/>
          <w:sz w:val="24"/>
          <w:szCs w:val="24"/>
        </w:rPr>
        <w:t>,</w:t>
      </w:r>
      <w:r w:rsidRPr="00AB758C">
        <w:rPr>
          <w:rFonts w:ascii="Cambria" w:eastAsia="Calibri" w:hAnsi="Cambria" w:cs="Calibri"/>
          <w:sz w:val="24"/>
          <w:szCs w:val="24"/>
        </w:rPr>
        <w:t xml:space="preserve"> ali i službenicima lokalne te regionalne samouprave.</w:t>
      </w:r>
    </w:p>
    <w:p w14:paraId="12F7E3B6" w14:textId="202354AB" w:rsidR="005D45BE" w:rsidRPr="007E5F52" w:rsidRDefault="005D45BE" w:rsidP="005D45BE">
      <w:pPr>
        <w:spacing w:line="276" w:lineRule="auto"/>
        <w:jc w:val="both"/>
        <w:rPr>
          <w:rFonts w:ascii="Cambria" w:eastAsia="Calibri" w:hAnsi="Cambria" w:cs="Calibri"/>
          <w:sz w:val="24"/>
          <w:szCs w:val="24"/>
        </w:rPr>
      </w:pPr>
      <w:r w:rsidRPr="007E5F52">
        <w:rPr>
          <w:rFonts w:ascii="Cambria" w:eastAsia="Calibri" w:hAnsi="Cambria" w:cs="Calibri"/>
          <w:sz w:val="24"/>
          <w:szCs w:val="24"/>
        </w:rPr>
        <w:t>Tijekom 201</w:t>
      </w:r>
      <w:r w:rsidR="00A9155C" w:rsidRPr="007E5F52">
        <w:rPr>
          <w:rFonts w:ascii="Cambria" w:eastAsia="Calibri" w:hAnsi="Cambria" w:cs="Calibri"/>
          <w:sz w:val="24"/>
          <w:szCs w:val="24"/>
        </w:rPr>
        <w:t>8</w:t>
      </w:r>
      <w:r w:rsidRPr="007E5F52">
        <w:rPr>
          <w:rFonts w:ascii="Cambria" w:eastAsia="Calibri" w:hAnsi="Cambria" w:cs="Calibri"/>
          <w:sz w:val="24"/>
          <w:szCs w:val="24"/>
        </w:rPr>
        <w:t>. održane su</w:t>
      </w:r>
      <w:r w:rsidR="003B0B3F" w:rsidRPr="007E5F52">
        <w:rPr>
          <w:rFonts w:ascii="Cambria" w:eastAsia="Calibri" w:hAnsi="Cambria" w:cs="Calibri"/>
          <w:sz w:val="24"/>
          <w:szCs w:val="24"/>
        </w:rPr>
        <w:t xml:space="preserve"> dvije</w:t>
      </w:r>
      <w:r w:rsidRPr="007E5F52">
        <w:rPr>
          <w:rFonts w:ascii="Cambria" w:eastAsia="Calibri" w:hAnsi="Cambria" w:cs="Calibri"/>
          <w:sz w:val="24"/>
          <w:szCs w:val="24"/>
        </w:rPr>
        <w:t xml:space="preserve"> radionice „</w:t>
      </w:r>
      <w:r w:rsidRPr="007E5F52">
        <w:rPr>
          <w:rFonts w:ascii="Cambria" w:eastAsia="Calibri" w:hAnsi="Cambria" w:cs="Calibri"/>
          <w:i/>
          <w:sz w:val="24"/>
          <w:szCs w:val="24"/>
        </w:rPr>
        <w:t>Kako pripremiti i provesti učinkovito savjetovanje sa zainteresiranom javnošću u postupcima donošenja zakona, drugih propisa i akata?</w:t>
      </w:r>
      <w:r w:rsidR="007E5F52" w:rsidRPr="007E5F52">
        <w:rPr>
          <w:rFonts w:ascii="Cambria" w:eastAsia="Calibri" w:hAnsi="Cambria" w:cs="Calibri"/>
          <w:sz w:val="24"/>
          <w:szCs w:val="24"/>
        </w:rPr>
        <w:t xml:space="preserve">“ </w:t>
      </w:r>
      <w:r w:rsidR="001830ED">
        <w:rPr>
          <w:rFonts w:ascii="Cambria" w:eastAsia="Calibri" w:hAnsi="Cambria" w:cs="Calibri"/>
          <w:sz w:val="24"/>
          <w:szCs w:val="24"/>
        </w:rPr>
        <w:t>za</w:t>
      </w:r>
      <w:r w:rsidR="007E5F52" w:rsidRPr="007E5F52">
        <w:rPr>
          <w:rFonts w:ascii="Cambria" w:eastAsia="Calibri" w:hAnsi="Cambria" w:cs="Calibri"/>
          <w:sz w:val="24"/>
          <w:szCs w:val="24"/>
        </w:rPr>
        <w:t xml:space="preserve"> 2</w:t>
      </w:r>
      <w:r w:rsidRPr="007E5F52">
        <w:rPr>
          <w:rFonts w:ascii="Cambria" w:eastAsia="Calibri" w:hAnsi="Cambria" w:cs="Calibri"/>
          <w:sz w:val="24"/>
          <w:szCs w:val="24"/>
        </w:rPr>
        <w:t>4 polaznika</w:t>
      </w:r>
      <w:r w:rsidR="007E5F52" w:rsidRPr="007E5F52">
        <w:rPr>
          <w:rFonts w:ascii="Cambria" w:eastAsia="Calibri" w:hAnsi="Cambria" w:cs="Calibri"/>
          <w:sz w:val="24"/>
          <w:szCs w:val="24"/>
        </w:rPr>
        <w:t>.</w:t>
      </w:r>
    </w:p>
    <w:p w14:paraId="4AE76D72" w14:textId="77777777" w:rsidR="005D45BE" w:rsidRPr="00AB758C" w:rsidRDefault="005D45BE" w:rsidP="005D45BE">
      <w:pPr>
        <w:spacing w:line="276" w:lineRule="auto"/>
        <w:jc w:val="both"/>
        <w:rPr>
          <w:rFonts w:ascii="Cambria" w:eastAsia="Calibri" w:hAnsi="Cambria" w:cs="Calibri"/>
          <w:sz w:val="24"/>
          <w:szCs w:val="24"/>
        </w:rPr>
      </w:pPr>
      <w:r w:rsidRPr="003B0B3F">
        <w:rPr>
          <w:rFonts w:ascii="Cambria" w:eastAsia="Calibri" w:hAnsi="Cambria" w:cs="Calibri"/>
          <w:sz w:val="24"/>
          <w:szCs w:val="24"/>
        </w:rPr>
        <w:t>U 201</w:t>
      </w:r>
      <w:r w:rsidR="00A9155C" w:rsidRPr="003B0B3F">
        <w:rPr>
          <w:rFonts w:ascii="Cambria" w:eastAsia="Calibri" w:hAnsi="Cambria" w:cs="Calibri"/>
          <w:sz w:val="24"/>
          <w:szCs w:val="24"/>
        </w:rPr>
        <w:t>8</w:t>
      </w:r>
      <w:r w:rsidRPr="003B0B3F">
        <w:rPr>
          <w:rFonts w:ascii="Cambria" w:eastAsia="Calibri" w:hAnsi="Cambria" w:cs="Calibri"/>
          <w:sz w:val="24"/>
          <w:szCs w:val="24"/>
        </w:rPr>
        <w:t xml:space="preserve">. održano je i  </w:t>
      </w:r>
      <w:r w:rsidR="003B0B3F" w:rsidRPr="003B0B3F">
        <w:rPr>
          <w:rFonts w:ascii="Cambria" w:eastAsia="Calibri" w:hAnsi="Cambria" w:cs="Calibri"/>
          <w:sz w:val="24"/>
          <w:szCs w:val="24"/>
        </w:rPr>
        <w:t>6</w:t>
      </w:r>
      <w:r w:rsidRPr="003B0B3F">
        <w:rPr>
          <w:rFonts w:ascii="Cambria" w:eastAsia="Calibri" w:hAnsi="Cambria" w:cs="Calibri"/>
          <w:sz w:val="24"/>
          <w:szCs w:val="24"/>
        </w:rPr>
        <w:t xml:space="preserve"> radionica o korištenju sustava e-Savjetovanja na kojima je sudjelovalo </w:t>
      </w:r>
      <w:r w:rsidR="003B0B3F" w:rsidRPr="003B0B3F">
        <w:rPr>
          <w:rFonts w:ascii="Cambria" w:eastAsia="Calibri" w:hAnsi="Cambria" w:cs="Calibri"/>
          <w:sz w:val="24"/>
          <w:szCs w:val="24"/>
        </w:rPr>
        <w:t>6</w:t>
      </w:r>
      <w:r w:rsidRPr="003B0B3F">
        <w:rPr>
          <w:rFonts w:ascii="Cambria" w:eastAsia="Calibri" w:hAnsi="Cambria" w:cs="Calibri"/>
          <w:sz w:val="24"/>
          <w:szCs w:val="24"/>
        </w:rPr>
        <w:t>7 polaznika.</w:t>
      </w:r>
    </w:p>
    <w:p w14:paraId="2B5E8E53" w14:textId="18C7F541" w:rsidR="005D45BE" w:rsidRPr="00AB758C" w:rsidRDefault="005D45BE" w:rsidP="005D45BE">
      <w:pPr>
        <w:spacing w:line="276" w:lineRule="auto"/>
        <w:jc w:val="both"/>
        <w:rPr>
          <w:rFonts w:ascii="Cambria" w:eastAsia="Calibri" w:hAnsi="Cambria" w:cs="Calibri"/>
          <w:sz w:val="24"/>
          <w:szCs w:val="24"/>
        </w:rPr>
      </w:pPr>
      <w:r w:rsidRPr="00AB758C">
        <w:rPr>
          <w:rFonts w:ascii="Cambria" w:eastAsia="Calibri" w:hAnsi="Cambria" w:cs="Calibri"/>
          <w:sz w:val="24"/>
          <w:szCs w:val="24"/>
        </w:rPr>
        <w:t xml:space="preserve">Ured za udruge održava aktivnu komunikaciju s koordinatorima za savjetovanje u tijelima državne uprave s kojima se održavaju redoviti sastanci u svrhu informiranja o novostima u pogledu provedbe savjetovanja sa zainteresiranom javnošću te u svrhu razmjene svih relevantnih informacija. </w:t>
      </w:r>
      <w:r w:rsidR="001830ED" w:rsidRPr="00AB758C">
        <w:rPr>
          <w:rFonts w:ascii="Cambria" w:eastAsia="Calibri" w:hAnsi="Cambria" w:cs="Calibri"/>
          <w:sz w:val="24"/>
          <w:szCs w:val="24"/>
        </w:rPr>
        <w:t xml:space="preserve">9. veljače 2018. </w:t>
      </w:r>
      <w:r w:rsidRPr="00AB758C">
        <w:rPr>
          <w:rFonts w:ascii="Cambria" w:eastAsia="Calibri" w:hAnsi="Cambria" w:cs="Calibri"/>
          <w:sz w:val="24"/>
          <w:szCs w:val="24"/>
        </w:rPr>
        <w:t xml:space="preserve">Ured za udruge organizirao je sastanak koordinatora za savjetovanja na kojem je sudjelovalo </w:t>
      </w:r>
      <w:r w:rsidR="00A9155C" w:rsidRPr="00AB758C">
        <w:rPr>
          <w:rFonts w:ascii="Cambria" w:eastAsia="Calibri" w:hAnsi="Cambria" w:cs="Calibri"/>
          <w:sz w:val="24"/>
          <w:szCs w:val="24"/>
        </w:rPr>
        <w:t>37</w:t>
      </w:r>
      <w:r w:rsidRPr="00AB758C">
        <w:rPr>
          <w:rFonts w:ascii="Cambria" w:eastAsia="Calibri" w:hAnsi="Cambria" w:cs="Calibri"/>
          <w:sz w:val="24"/>
          <w:szCs w:val="24"/>
        </w:rPr>
        <w:t xml:space="preserve"> koordinatora za savjetovanje i administratora sustava e-Savjetovanja. Uz sastanke, Ured koordinatorima redovito šalje obavijesti o novostima i naputke u pogledu provedbe savjetovanja</w:t>
      </w:r>
      <w:r w:rsidR="00500D11">
        <w:rPr>
          <w:rFonts w:ascii="Cambria" w:eastAsia="Calibri" w:hAnsi="Cambria" w:cs="Calibri"/>
          <w:sz w:val="24"/>
          <w:szCs w:val="24"/>
        </w:rPr>
        <w:t xml:space="preserve"> te po potrebi pruža podršku u objavi dokumenata za savjetovanje</w:t>
      </w:r>
      <w:r w:rsidRPr="00AB758C">
        <w:rPr>
          <w:rFonts w:ascii="Cambria" w:eastAsia="Calibri" w:hAnsi="Cambria" w:cs="Calibri"/>
          <w:sz w:val="24"/>
          <w:szCs w:val="24"/>
        </w:rPr>
        <w:t>.</w:t>
      </w:r>
    </w:p>
    <w:p w14:paraId="6E310D4B" w14:textId="619510C2" w:rsidR="0005206E" w:rsidRDefault="008028F8" w:rsidP="00890629">
      <w:pPr>
        <w:pStyle w:val="Heading1"/>
        <w:rPr>
          <w:b/>
        </w:rPr>
      </w:pPr>
      <w:bookmarkStart w:id="10" w:name="_Toc4076869"/>
      <w:r w:rsidRPr="00015400">
        <w:rPr>
          <w:b/>
        </w:rPr>
        <w:t xml:space="preserve">4. </w:t>
      </w:r>
      <w:r w:rsidR="00A6306B" w:rsidRPr="00015400">
        <w:rPr>
          <w:b/>
        </w:rPr>
        <w:t>ANALIZA PROVEDENIH SAVJETOVANJA U 2018.</w:t>
      </w:r>
      <w:bookmarkEnd w:id="10"/>
      <w:r w:rsidR="00A6306B" w:rsidRPr="00015400">
        <w:rPr>
          <w:b/>
        </w:rPr>
        <w:t xml:space="preserve"> </w:t>
      </w:r>
    </w:p>
    <w:p w14:paraId="01A7563C" w14:textId="77777777" w:rsidR="00890629" w:rsidRPr="00890629" w:rsidRDefault="00890629" w:rsidP="00890629"/>
    <w:p w14:paraId="6AD7D7BA" w14:textId="02335EC7" w:rsidR="007F5755" w:rsidRDefault="00A22899" w:rsidP="00036623">
      <w:pPr>
        <w:jc w:val="both"/>
        <w:rPr>
          <w:rFonts w:ascii="Cambria" w:hAnsi="Cambria"/>
          <w:sz w:val="24"/>
          <w:szCs w:val="24"/>
        </w:rPr>
      </w:pPr>
      <w:r w:rsidRPr="00A22899">
        <w:rPr>
          <w:rFonts w:ascii="Cambria" w:hAnsi="Cambria"/>
          <w:sz w:val="24"/>
          <w:szCs w:val="24"/>
        </w:rPr>
        <w:t>Analiza u nastavku obuhvaća savjetovanja sa zainteresiran</w:t>
      </w:r>
      <w:r w:rsidR="001309CA">
        <w:rPr>
          <w:rFonts w:ascii="Cambria" w:hAnsi="Cambria"/>
          <w:sz w:val="24"/>
          <w:szCs w:val="24"/>
        </w:rPr>
        <w:t>o</w:t>
      </w:r>
      <w:r w:rsidRPr="00A22899">
        <w:rPr>
          <w:rFonts w:ascii="Cambria" w:hAnsi="Cambria"/>
          <w:sz w:val="24"/>
          <w:szCs w:val="24"/>
        </w:rPr>
        <w:t>m javnošću koja su provodila državna tijela u 201</w:t>
      </w:r>
      <w:r w:rsidR="00892C4B">
        <w:rPr>
          <w:rFonts w:ascii="Cambria" w:hAnsi="Cambria"/>
          <w:sz w:val="24"/>
          <w:szCs w:val="24"/>
        </w:rPr>
        <w:t>8</w:t>
      </w:r>
      <w:r w:rsidRPr="00A22899">
        <w:rPr>
          <w:rFonts w:ascii="Cambria" w:hAnsi="Cambria"/>
          <w:sz w:val="24"/>
          <w:szCs w:val="24"/>
        </w:rPr>
        <w:t>. godini putem aplikacije „e-Savjetovanja“ te izvan aplikacije - objavom nacrta propisa na internetskim stranicama</w:t>
      </w:r>
      <w:r w:rsidR="00500D11">
        <w:rPr>
          <w:rFonts w:ascii="Cambria" w:hAnsi="Cambria"/>
          <w:sz w:val="24"/>
          <w:szCs w:val="24"/>
        </w:rPr>
        <w:t xml:space="preserve"> državnih tijela</w:t>
      </w:r>
      <w:r w:rsidRPr="00A22899">
        <w:rPr>
          <w:rFonts w:ascii="Cambria" w:hAnsi="Cambria"/>
          <w:sz w:val="24"/>
          <w:szCs w:val="24"/>
        </w:rPr>
        <w:t>, održavanjem javnih rasprava, okruglih stolova, savjetodavnih sastanaka i slično</w:t>
      </w:r>
      <w:r>
        <w:rPr>
          <w:rFonts w:ascii="Cambria" w:hAnsi="Cambria"/>
          <w:sz w:val="24"/>
          <w:szCs w:val="24"/>
        </w:rPr>
        <w:t>.</w:t>
      </w:r>
    </w:p>
    <w:p w14:paraId="757BE08B" w14:textId="156F78C9" w:rsidR="00DD060D" w:rsidRPr="00DD060D" w:rsidRDefault="00DD060D" w:rsidP="00036623">
      <w:pPr>
        <w:jc w:val="both"/>
        <w:rPr>
          <w:rFonts w:ascii="Cambria" w:hAnsi="Cambria"/>
          <w:sz w:val="24"/>
          <w:szCs w:val="24"/>
        </w:rPr>
      </w:pPr>
      <w:r w:rsidRPr="00DD060D">
        <w:rPr>
          <w:rFonts w:ascii="Cambria" w:hAnsi="Cambria"/>
          <w:sz w:val="24"/>
          <w:szCs w:val="24"/>
        </w:rPr>
        <w:t>Kao tijelo koje koordinira sustav e-Savjetovanja, Ured za udruge Vlade Republike Hrvatske ima pristup statistici svih provedenih savjetovanja u sklopu sustava</w:t>
      </w:r>
      <w:r w:rsidRPr="00DD060D">
        <w:rPr>
          <w:rFonts w:ascii="Cambria" w:hAnsi="Cambria"/>
          <w:sz w:val="24"/>
          <w:szCs w:val="24"/>
          <w:vertAlign w:val="superscript"/>
        </w:rPr>
        <w:footnoteReference w:id="4"/>
      </w:r>
      <w:r w:rsidRPr="00DD060D">
        <w:rPr>
          <w:rFonts w:ascii="Cambria" w:hAnsi="Cambria"/>
          <w:sz w:val="24"/>
          <w:szCs w:val="24"/>
        </w:rPr>
        <w:t>, a tijekom veljače i ožujka 201</w:t>
      </w:r>
      <w:r w:rsidR="001830ED">
        <w:rPr>
          <w:rFonts w:ascii="Cambria" w:hAnsi="Cambria"/>
          <w:sz w:val="24"/>
          <w:szCs w:val="24"/>
        </w:rPr>
        <w:t>9</w:t>
      </w:r>
      <w:r w:rsidRPr="00DD060D">
        <w:rPr>
          <w:rFonts w:ascii="Cambria" w:hAnsi="Cambria"/>
          <w:sz w:val="24"/>
          <w:szCs w:val="24"/>
        </w:rPr>
        <w:t xml:space="preserve">. prikupio je i obradio izvješća ministarstava, državnih ureda i državnih upravnih </w:t>
      </w:r>
      <w:r w:rsidRPr="00DD060D">
        <w:rPr>
          <w:rFonts w:ascii="Cambria" w:hAnsi="Cambria"/>
          <w:sz w:val="24"/>
          <w:szCs w:val="24"/>
        </w:rPr>
        <w:lastRenderedPageBreak/>
        <w:t>organizacija, Vladinih ureda, agencija (u nastavku: državna tijela) o savjetovanjima koja su provodili u 201</w:t>
      </w:r>
      <w:r>
        <w:rPr>
          <w:rFonts w:ascii="Cambria" w:hAnsi="Cambria"/>
          <w:sz w:val="24"/>
          <w:szCs w:val="24"/>
        </w:rPr>
        <w:t>8</w:t>
      </w:r>
      <w:r w:rsidRPr="00DD060D">
        <w:rPr>
          <w:rFonts w:ascii="Cambria" w:hAnsi="Cambria"/>
          <w:sz w:val="24"/>
          <w:szCs w:val="24"/>
        </w:rPr>
        <w:t>. godini izvan sustava e-Savjetovanja</w:t>
      </w:r>
      <w:r w:rsidRPr="00DD060D">
        <w:rPr>
          <w:rFonts w:ascii="Cambria" w:hAnsi="Cambria"/>
          <w:sz w:val="24"/>
          <w:szCs w:val="24"/>
          <w:vertAlign w:val="superscript"/>
        </w:rPr>
        <w:footnoteReference w:id="5"/>
      </w:r>
      <w:r w:rsidRPr="00DD060D">
        <w:rPr>
          <w:rFonts w:ascii="Cambria" w:hAnsi="Cambria"/>
          <w:sz w:val="24"/>
          <w:szCs w:val="24"/>
        </w:rPr>
        <w:t>.</w:t>
      </w:r>
    </w:p>
    <w:p w14:paraId="2C623CF1" w14:textId="680FC3DA" w:rsidR="006A7AA1" w:rsidRPr="006A7AA1" w:rsidRDefault="006A7AA1" w:rsidP="00036623">
      <w:pPr>
        <w:jc w:val="both"/>
        <w:rPr>
          <w:rFonts w:ascii="Cambria" w:hAnsi="Cambria"/>
          <w:sz w:val="24"/>
          <w:szCs w:val="24"/>
        </w:rPr>
      </w:pPr>
      <w:r w:rsidRPr="006A7AA1">
        <w:rPr>
          <w:rFonts w:ascii="Cambria" w:hAnsi="Cambria"/>
          <w:sz w:val="24"/>
          <w:szCs w:val="24"/>
        </w:rPr>
        <w:t>Ured za udruge uputio je zahtjev za dostavom informacija prema 3</w:t>
      </w:r>
      <w:r>
        <w:rPr>
          <w:rFonts w:ascii="Cambria" w:hAnsi="Cambria"/>
          <w:sz w:val="24"/>
          <w:szCs w:val="24"/>
        </w:rPr>
        <w:t>5</w:t>
      </w:r>
      <w:r w:rsidRPr="006A7AA1">
        <w:rPr>
          <w:rFonts w:ascii="Cambria" w:hAnsi="Cambria"/>
          <w:sz w:val="24"/>
          <w:szCs w:val="24"/>
        </w:rPr>
        <w:t xml:space="preserve"> </w:t>
      </w:r>
      <w:r w:rsidR="00F83303">
        <w:rPr>
          <w:rFonts w:ascii="Cambria" w:hAnsi="Cambria"/>
          <w:sz w:val="24"/>
          <w:szCs w:val="24"/>
        </w:rPr>
        <w:t xml:space="preserve">središnjih </w:t>
      </w:r>
      <w:r w:rsidR="00F434EC">
        <w:rPr>
          <w:rFonts w:ascii="Cambria" w:hAnsi="Cambria"/>
          <w:sz w:val="24"/>
          <w:szCs w:val="24"/>
        </w:rPr>
        <w:t>tijela državne uprave</w:t>
      </w:r>
      <w:r w:rsidR="00F83303">
        <w:rPr>
          <w:rFonts w:ascii="Cambria" w:hAnsi="Cambria"/>
          <w:sz w:val="24"/>
          <w:szCs w:val="24"/>
        </w:rPr>
        <w:t xml:space="preserve"> (te prema Hrvatskoj narodnoj banci)</w:t>
      </w:r>
      <w:r w:rsidRPr="006A7AA1">
        <w:rPr>
          <w:rFonts w:ascii="Cambria" w:hAnsi="Cambria"/>
          <w:sz w:val="24"/>
          <w:szCs w:val="24"/>
        </w:rPr>
        <w:t xml:space="preserve"> te je dobio podatke o provedbi savjetovanja sa zainteresiranom javnošću od </w:t>
      </w:r>
      <w:r>
        <w:rPr>
          <w:rFonts w:ascii="Cambria" w:hAnsi="Cambria"/>
          <w:sz w:val="24"/>
          <w:szCs w:val="24"/>
        </w:rPr>
        <w:t>34</w:t>
      </w:r>
      <w:r w:rsidRPr="006A7AA1">
        <w:rPr>
          <w:rFonts w:ascii="Cambria" w:hAnsi="Cambria"/>
          <w:sz w:val="24"/>
          <w:szCs w:val="24"/>
        </w:rPr>
        <w:t xml:space="preserve"> tijela</w:t>
      </w:r>
      <w:r w:rsidR="000E7087">
        <w:rPr>
          <w:rStyle w:val="FootnoteReference"/>
          <w:rFonts w:ascii="Cambria" w:hAnsi="Cambria"/>
          <w:sz w:val="24"/>
          <w:szCs w:val="24"/>
        </w:rPr>
        <w:footnoteReference w:id="6"/>
      </w:r>
      <w:r w:rsidRPr="006A7AA1">
        <w:rPr>
          <w:rFonts w:ascii="Cambria" w:hAnsi="Cambria"/>
          <w:sz w:val="24"/>
          <w:szCs w:val="24"/>
        </w:rPr>
        <w:t xml:space="preserve">. Popis tijela od kojih je tražena dostava podataka nalazi se u prilogu ovom Izvješću. </w:t>
      </w:r>
      <w:r w:rsidRPr="00E1416D">
        <w:rPr>
          <w:rFonts w:ascii="Cambria" w:hAnsi="Cambria"/>
          <w:sz w:val="24"/>
          <w:szCs w:val="24"/>
        </w:rPr>
        <w:t>Od 35 tijela kojima je upućen zahtjev za dostavom informacija, njih 3</w:t>
      </w:r>
      <w:r w:rsidR="00F83303" w:rsidRPr="00E1416D">
        <w:rPr>
          <w:rFonts w:ascii="Cambria" w:hAnsi="Cambria"/>
          <w:sz w:val="24"/>
          <w:szCs w:val="24"/>
        </w:rPr>
        <w:t>3</w:t>
      </w:r>
      <w:r w:rsidRPr="00E1416D">
        <w:rPr>
          <w:rFonts w:ascii="Cambria" w:hAnsi="Cambria"/>
          <w:sz w:val="24"/>
          <w:szCs w:val="24"/>
        </w:rPr>
        <w:t xml:space="preserve"> provodilo je neki oblik savjetovanja u 201</w:t>
      </w:r>
      <w:r w:rsidR="00036623" w:rsidRPr="00E1416D">
        <w:rPr>
          <w:rFonts w:ascii="Cambria" w:hAnsi="Cambria"/>
          <w:sz w:val="24"/>
          <w:szCs w:val="24"/>
        </w:rPr>
        <w:t>8</w:t>
      </w:r>
      <w:r w:rsidRPr="00E1416D">
        <w:rPr>
          <w:rFonts w:ascii="Cambria" w:hAnsi="Cambria"/>
          <w:sz w:val="24"/>
          <w:szCs w:val="24"/>
        </w:rPr>
        <w:t>.</w:t>
      </w:r>
      <w:r w:rsidR="00F83303" w:rsidRPr="00E1416D">
        <w:rPr>
          <w:rFonts w:ascii="Cambria" w:hAnsi="Cambria"/>
          <w:sz w:val="24"/>
          <w:szCs w:val="24"/>
        </w:rPr>
        <w:t xml:space="preserve"> Središnji državni ured za središnju javnu nabavu jedino je tijelo kojem je upućen zahtjev za dostavu informacija, a koje nije provodilo savjetovanja s javnošću u 2018. </w:t>
      </w:r>
      <w:r w:rsidR="00E1416D" w:rsidRPr="00E1416D">
        <w:rPr>
          <w:rFonts w:ascii="Cambria" w:hAnsi="Cambria"/>
          <w:sz w:val="24"/>
          <w:szCs w:val="24"/>
        </w:rPr>
        <w:t xml:space="preserve">, uz </w:t>
      </w:r>
      <w:r w:rsidR="00F83303" w:rsidRPr="00E1416D">
        <w:rPr>
          <w:rFonts w:ascii="Cambria" w:hAnsi="Cambria"/>
          <w:sz w:val="24"/>
          <w:szCs w:val="24"/>
        </w:rPr>
        <w:t>Povjerenik</w:t>
      </w:r>
      <w:r w:rsidR="00E1416D">
        <w:rPr>
          <w:rFonts w:ascii="Cambria" w:hAnsi="Cambria"/>
          <w:sz w:val="24"/>
          <w:szCs w:val="24"/>
        </w:rPr>
        <w:t>a za informiranje kao neovisno tijelo zaduženo za praćenje provedbe Zakona o pravu na pristup informacijama.</w:t>
      </w:r>
    </w:p>
    <w:p w14:paraId="62A97442" w14:textId="77777777" w:rsidR="008028F8" w:rsidRDefault="008028F8" w:rsidP="00E016E7">
      <w:pPr>
        <w:pStyle w:val="Heading2"/>
        <w:spacing w:after="120"/>
      </w:pPr>
      <w:bookmarkStart w:id="11" w:name="_Toc4076870"/>
      <w:r w:rsidRPr="00AB758C">
        <w:t xml:space="preserve">4.1. </w:t>
      </w:r>
      <w:r w:rsidR="00015400">
        <w:t>U</w:t>
      </w:r>
      <w:r w:rsidR="00015400" w:rsidRPr="00AB758C">
        <w:t>kupan broj provedenih savjetovanja</w:t>
      </w:r>
      <w:bookmarkEnd w:id="11"/>
    </w:p>
    <w:p w14:paraId="73FE34A0" w14:textId="2F92C402" w:rsidR="00036623" w:rsidRPr="00036623" w:rsidRDefault="00036623" w:rsidP="00036623">
      <w:pPr>
        <w:jc w:val="both"/>
        <w:rPr>
          <w:rFonts w:ascii="Cambria" w:hAnsi="Cambria"/>
          <w:sz w:val="24"/>
          <w:szCs w:val="24"/>
        </w:rPr>
      </w:pPr>
      <w:r w:rsidRPr="00036623">
        <w:rPr>
          <w:rFonts w:ascii="Cambria" w:hAnsi="Cambria"/>
          <w:sz w:val="24"/>
          <w:szCs w:val="24"/>
        </w:rPr>
        <w:t>Prema podacima kojima raspolaže Ured za udruge, u 201</w:t>
      </w:r>
      <w:r>
        <w:rPr>
          <w:rFonts w:ascii="Cambria" w:hAnsi="Cambria"/>
          <w:sz w:val="24"/>
          <w:szCs w:val="24"/>
        </w:rPr>
        <w:t>8</w:t>
      </w:r>
      <w:r w:rsidRPr="00036623">
        <w:rPr>
          <w:rFonts w:ascii="Cambria" w:hAnsi="Cambria"/>
          <w:sz w:val="24"/>
          <w:szCs w:val="24"/>
        </w:rPr>
        <w:t>. proveden</w:t>
      </w:r>
      <w:r>
        <w:rPr>
          <w:rFonts w:ascii="Cambria" w:hAnsi="Cambria"/>
          <w:sz w:val="24"/>
          <w:szCs w:val="24"/>
        </w:rPr>
        <w:t>a su</w:t>
      </w:r>
      <w:r w:rsidRPr="00036623">
        <w:rPr>
          <w:rFonts w:ascii="Cambria" w:hAnsi="Cambria"/>
          <w:sz w:val="24"/>
          <w:szCs w:val="24"/>
        </w:rPr>
        <w:t xml:space="preserve"> ukupno </w:t>
      </w:r>
      <w:r>
        <w:rPr>
          <w:rFonts w:ascii="Cambria" w:hAnsi="Cambria"/>
          <w:sz w:val="24"/>
          <w:szCs w:val="24"/>
        </w:rPr>
        <w:t>1.033</w:t>
      </w:r>
      <w:r w:rsidRPr="00036623">
        <w:rPr>
          <w:rFonts w:ascii="Cambria" w:hAnsi="Cambria"/>
          <w:sz w:val="24"/>
          <w:szCs w:val="24"/>
        </w:rPr>
        <w:t xml:space="preserve"> savjetovanja</w:t>
      </w:r>
      <w:r>
        <w:rPr>
          <w:rFonts w:ascii="Cambria" w:hAnsi="Cambria"/>
          <w:sz w:val="24"/>
          <w:szCs w:val="24"/>
        </w:rPr>
        <w:t xml:space="preserve"> </w:t>
      </w:r>
      <w:r w:rsidR="00F83303">
        <w:rPr>
          <w:rFonts w:ascii="Cambria" w:hAnsi="Cambria"/>
          <w:sz w:val="24"/>
          <w:szCs w:val="24"/>
        </w:rPr>
        <w:t>središnjih tijela državne uprave (te Hrvatske narodne banke)</w:t>
      </w:r>
      <w:r>
        <w:rPr>
          <w:rFonts w:ascii="Cambria" w:hAnsi="Cambria"/>
          <w:sz w:val="24"/>
          <w:szCs w:val="24"/>
        </w:rPr>
        <w:t>, što je povećanje od čak 46% u odnosu na 2017., kad je provedeno 706 savjetovanja</w:t>
      </w:r>
      <w:r w:rsidR="006221A0">
        <w:rPr>
          <w:rFonts w:ascii="Cambria" w:hAnsi="Cambria"/>
          <w:sz w:val="24"/>
          <w:szCs w:val="24"/>
        </w:rPr>
        <w:t xml:space="preserve">.  </w:t>
      </w:r>
      <w:r w:rsidRPr="00036623">
        <w:rPr>
          <w:rFonts w:ascii="Cambria" w:hAnsi="Cambria"/>
          <w:sz w:val="24"/>
          <w:szCs w:val="24"/>
        </w:rPr>
        <w:t xml:space="preserve">To je </w:t>
      </w:r>
      <w:r w:rsidR="00763061">
        <w:rPr>
          <w:rFonts w:ascii="Cambria" w:hAnsi="Cambria"/>
          <w:sz w:val="24"/>
          <w:szCs w:val="24"/>
        </w:rPr>
        <w:t>60</w:t>
      </w:r>
      <w:r w:rsidRPr="00036623">
        <w:rPr>
          <w:rFonts w:ascii="Cambria" w:hAnsi="Cambria"/>
          <w:sz w:val="24"/>
          <w:szCs w:val="24"/>
        </w:rPr>
        <w:t xml:space="preserve">% savjetovanja više u odnosu na 2016. godinu kada je provedeno 642 savjetovanja te </w:t>
      </w:r>
      <w:r w:rsidR="00763061">
        <w:rPr>
          <w:rFonts w:ascii="Cambria" w:hAnsi="Cambria"/>
          <w:sz w:val="24"/>
          <w:szCs w:val="24"/>
        </w:rPr>
        <w:t>69</w:t>
      </w:r>
      <w:r w:rsidRPr="00036623">
        <w:rPr>
          <w:rFonts w:ascii="Cambria" w:hAnsi="Cambria"/>
          <w:sz w:val="24"/>
          <w:szCs w:val="24"/>
        </w:rPr>
        <w:t xml:space="preserve">% više u odnosu na 2015. kad je provedeno 608 savjetovanja. U odnosu na 2014. godinu, kada su provedena 544 javna savjetovanja, riječ je o porastu od </w:t>
      </w:r>
      <w:r w:rsidR="00763061">
        <w:rPr>
          <w:rFonts w:ascii="Cambria" w:hAnsi="Cambria"/>
          <w:sz w:val="24"/>
          <w:szCs w:val="24"/>
        </w:rPr>
        <w:t>90</w:t>
      </w:r>
      <w:r w:rsidRPr="00036623">
        <w:rPr>
          <w:rFonts w:ascii="Cambria" w:hAnsi="Cambria"/>
          <w:sz w:val="24"/>
          <w:szCs w:val="24"/>
        </w:rPr>
        <w:t xml:space="preserve">%, a u usporedi s 2012. godinom kada su </w:t>
      </w:r>
      <w:r w:rsidR="007965B4">
        <w:rPr>
          <w:rFonts w:ascii="Cambria" w:hAnsi="Cambria"/>
          <w:sz w:val="24"/>
          <w:szCs w:val="24"/>
        </w:rPr>
        <w:t>središnja tijela državne uprave</w:t>
      </w:r>
      <w:r w:rsidRPr="00036623">
        <w:rPr>
          <w:rFonts w:ascii="Cambria" w:hAnsi="Cambria"/>
          <w:sz w:val="24"/>
          <w:szCs w:val="24"/>
        </w:rPr>
        <w:t xml:space="preserve"> provela 144 savjetovanja, 201</w:t>
      </w:r>
      <w:r w:rsidR="00763061">
        <w:rPr>
          <w:rFonts w:ascii="Cambria" w:hAnsi="Cambria"/>
          <w:sz w:val="24"/>
          <w:szCs w:val="24"/>
        </w:rPr>
        <w:t>8</w:t>
      </w:r>
      <w:r w:rsidRPr="00036623">
        <w:rPr>
          <w:rFonts w:ascii="Cambria" w:hAnsi="Cambria"/>
          <w:sz w:val="24"/>
          <w:szCs w:val="24"/>
        </w:rPr>
        <w:t xml:space="preserve">. godina donosi porast od čak </w:t>
      </w:r>
      <w:r w:rsidR="00763061">
        <w:rPr>
          <w:rFonts w:ascii="Cambria" w:hAnsi="Cambria"/>
          <w:sz w:val="24"/>
          <w:szCs w:val="24"/>
        </w:rPr>
        <w:t>617</w:t>
      </w:r>
      <w:r w:rsidRPr="00036623">
        <w:rPr>
          <w:rFonts w:ascii="Cambria" w:hAnsi="Cambria"/>
          <w:sz w:val="24"/>
          <w:szCs w:val="24"/>
        </w:rPr>
        <w:t>%.</w:t>
      </w:r>
    </w:p>
    <w:p w14:paraId="7A35C9CB" w14:textId="77777777" w:rsidR="006625FB" w:rsidRPr="006625FB" w:rsidRDefault="006625FB" w:rsidP="00A1351C">
      <w:pPr>
        <w:jc w:val="both"/>
        <w:rPr>
          <w:rFonts w:ascii="Cambria" w:hAnsi="Cambria"/>
          <w:b/>
        </w:rPr>
      </w:pPr>
      <w:r w:rsidRPr="006625FB">
        <w:rPr>
          <w:rFonts w:ascii="Cambria" w:hAnsi="Cambria"/>
          <w:b/>
        </w:rPr>
        <w:t>Grafički prikaz 1.: Porast broja provedenih savjetovanja sa zainteresiranim javnošću od 2012. do 201</w:t>
      </w:r>
      <w:r w:rsidR="00892C4B">
        <w:rPr>
          <w:rFonts w:ascii="Cambria" w:hAnsi="Cambria"/>
          <w:b/>
        </w:rPr>
        <w:t>8</w:t>
      </w:r>
      <w:r w:rsidRPr="006625FB">
        <w:rPr>
          <w:rFonts w:ascii="Cambria" w:hAnsi="Cambria"/>
          <w:b/>
        </w:rPr>
        <w:t>. godine</w:t>
      </w:r>
    </w:p>
    <w:p w14:paraId="7C8B71B2" w14:textId="77777777" w:rsidR="006625FB" w:rsidRPr="006625FB" w:rsidRDefault="006625FB" w:rsidP="00A1351C">
      <w:pPr>
        <w:jc w:val="both"/>
        <w:rPr>
          <w:rFonts w:ascii="Cambria" w:hAnsi="Cambria"/>
          <w:b/>
          <w:sz w:val="24"/>
          <w:szCs w:val="24"/>
        </w:rPr>
      </w:pPr>
      <w:r w:rsidRPr="00131432">
        <w:rPr>
          <w:noProof/>
          <w:lang w:eastAsia="hr-HR"/>
        </w:rPr>
        <w:drawing>
          <wp:inline distT="0" distB="0" distL="0" distR="0" wp14:anchorId="05A08F4F" wp14:editId="00517D48">
            <wp:extent cx="5581650" cy="2085975"/>
            <wp:effectExtent l="57150" t="19050" r="57150" b="857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C95AABC" w14:textId="19D074B5" w:rsidR="00036623" w:rsidRDefault="00763061" w:rsidP="00A1351C">
      <w:pPr>
        <w:jc w:val="both"/>
        <w:rPr>
          <w:rFonts w:ascii="Cambria" w:hAnsi="Cambria"/>
          <w:sz w:val="24"/>
          <w:szCs w:val="24"/>
        </w:rPr>
      </w:pPr>
      <w:r w:rsidRPr="00A1351C">
        <w:rPr>
          <w:rFonts w:ascii="Cambria" w:hAnsi="Cambria"/>
          <w:sz w:val="24"/>
          <w:szCs w:val="24"/>
        </w:rPr>
        <w:lastRenderedPageBreak/>
        <w:t>Ono što je vidljivo iz godišnjih izvješća o provedbi savjetovanja sa zainteresiranom javnošću u postupcima donošenja zakona, drugih propisa i akata, koje od 2010. izrađuje i objavljuje Ured za udruge, jest konstantan napredak u provedbi savjetovanja, ponajviše u povećanju broja akata koji se postavljaju na javno savjetovanje, te opseg akata za koje se provodi savjetovanje. Također primjetan je i porast broja pravnih osoba koja provode savjetovanja</w:t>
      </w:r>
      <w:r w:rsidR="00E105BF">
        <w:rPr>
          <w:rFonts w:ascii="Cambria" w:hAnsi="Cambria"/>
          <w:sz w:val="24"/>
          <w:szCs w:val="24"/>
        </w:rPr>
        <w:t>:</w:t>
      </w:r>
      <w:r w:rsidRPr="00A1351C">
        <w:rPr>
          <w:rFonts w:ascii="Cambria" w:hAnsi="Cambria"/>
          <w:sz w:val="24"/>
          <w:szCs w:val="24"/>
        </w:rPr>
        <w:t xml:space="preserve"> uz tijela državne uprave, savjetovanja provode i komore, zavodi, agencije te druge pravne osobe. </w:t>
      </w:r>
    </w:p>
    <w:p w14:paraId="40B1B423" w14:textId="77777777" w:rsidR="004727BD" w:rsidRPr="00E016E7" w:rsidRDefault="005E366D">
      <w:pPr>
        <w:rPr>
          <w:rFonts w:ascii="Cambria" w:hAnsi="Cambria"/>
          <w:b/>
        </w:rPr>
      </w:pPr>
      <w:r w:rsidRPr="00E016E7">
        <w:rPr>
          <w:rFonts w:ascii="Cambria" w:hAnsi="Cambria"/>
          <w:b/>
          <w:i/>
        </w:rPr>
        <w:t>Tablica 1.</w:t>
      </w:r>
      <w:r w:rsidRPr="00E016E7">
        <w:rPr>
          <w:rFonts w:ascii="Cambria" w:hAnsi="Cambria"/>
          <w:b/>
        </w:rPr>
        <w:t>: Tijela koja su provodila savjetovanja sa zainteresiranom javnošću u 201</w:t>
      </w:r>
      <w:r w:rsidR="00892C4B" w:rsidRPr="00E016E7">
        <w:rPr>
          <w:rFonts w:ascii="Cambria" w:hAnsi="Cambria"/>
          <w:b/>
        </w:rPr>
        <w:t>8</w:t>
      </w:r>
      <w:r w:rsidRPr="00E016E7">
        <w:rPr>
          <w:rFonts w:ascii="Cambria" w:hAnsi="Cambria"/>
          <w:b/>
        </w:rPr>
        <w:t>. godini</w:t>
      </w:r>
    </w:p>
    <w:tbl>
      <w:tblPr>
        <w:tblStyle w:val="GridTable4-Accent1"/>
        <w:tblW w:w="9067" w:type="dxa"/>
        <w:jc w:val="center"/>
        <w:tblLook w:val="04A0" w:firstRow="1" w:lastRow="0" w:firstColumn="1" w:lastColumn="0" w:noHBand="0" w:noVBand="1"/>
      </w:tblPr>
      <w:tblGrid>
        <w:gridCol w:w="988"/>
        <w:gridCol w:w="6095"/>
        <w:gridCol w:w="1984"/>
      </w:tblGrid>
      <w:tr w:rsidR="005E366D" w:rsidRPr="00AE139D" w14:paraId="2FD8F260" w14:textId="77777777" w:rsidTr="00E016E7">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7C586DDD" w14:textId="77777777" w:rsidR="005E366D" w:rsidRPr="009F5494" w:rsidRDefault="005E366D" w:rsidP="001362A5">
            <w:pPr>
              <w:spacing w:after="200"/>
              <w:contextualSpacing/>
              <w:rPr>
                <w:rFonts w:asciiTheme="minorHAnsi" w:hAnsiTheme="minorHAnsi"/>
              </w:rPr>
            </w:pPr>
            <w:r w:rsidRPr="009F5494">
              <w:rPr>
                <w:rFonts w:asciiTheme="minorHAnsi" w:hAnsiTheme="minorHAnsi"/>
              </w:rPr>
              <w:t>R.B.</w:t>
            </w:r>
          </w:p>
        </w:tc>
        <w:tc>
          <w:tcPr>
            <w:tcW w:w="6095" w:type="dxa"/>
            <w:noWrap/>
            <w:hideMark/>
          </w:tcPr>
          <w:p w14:paraId="677BBE9B" w14:textId="77777777" w:rsidR="005E366D" w:rsidRPr="009F5494" w:rsidRDefault="005E366D" w:rsidP="001362A5">
            <w:pPr>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F5494">
              <w:rPr>
                <w:rFonts w:asciiTheme="minorHAnsi" w:hAnsiTheme="minorHAnsi"/>
              </w:rPr>
              <w:t>Naziv državnog tijela </w:t>
            </w:r>
          </w:p>
        </w:tc>
        <w:tc>
          <w:tcPr>
            <w:tcW w:w="1984" w:type="dxa"/>
            <w:noWrap/>
            <w:hideMark/>
          </w:tcPr>
          <w:p w14:paraId="114C1BF3" w14:textId="77777777" w:rsidR="005E366D" w:rsidRPr="009F5494" w:rsidRDefault="005E366D" w:rsidP="001362A5">
            <w:pPr>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F5494">
              <w:rPr>
                <w:rFonts w:asciiTheme="minorHAnsi" w:hAnsiTheme="minorHAnsi"/>
              </w:rPr>
              <w:t>Broj provedenih savjetovanja</w:t>
            </w:r>
          </w:p>
        </w:tc>
      </w:tr>
      <w:tr w:rsidR="00F84F9A" w:rsidRPr="00AE139D" w14:paraId="30388D84" w14:textId="77777777" w:rsidTr="00E016E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40E00B00" w14:textId="77777777" w:rsidR="00F84F9A" w:rsidRPr="009F5494" w:rsidRDefault="00F84F9A" w:rsidP="00EC70B8">
            <w:pPr>
              <w:contextualSpacing/>
              <w:jc w:val="center"/>
              <w:rPr>
                <w:rFonts w:asciiTheme="minorHAnsi" w:hAnsiTheme="minorHAnsi"/>
              </w:rPr>
            </w:pPr>
            <w:r w:rsidRPr="009F5494">
              <w:rPr>
                <w:rFonts w:asciiTheme="minorHAnsi" w:hAnsiTheme="minorHAnsi"/>
              </w:rPr>
              <w:t>1.</w:t>
            </w:r>
          </w:p>
        </w:tc>
        <w:tc>
          <w:tcPr>
            <w:tcW w:w="609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6E12D025" w14:textId="77777777" w:rsidR="00F84F9A" w:rsidRPr="009F5494" w:rsidRDefault="00F84F9A" w:rsidP="001362A5">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F5494">
              <w:rPr>
                <w:rFonts w:asciiTheme="minorHAnsi" w:hAnsiTheme="minorHAnsi"/>
              </w:rPr>
              <w:t>Ministarstvo poljoprivrede</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62C810C7" w14:textId="77777777" w:rsidR="00F84F9A" w:rsidRPr="009F5494" w:rsidRDefault="00F84F9A" w:rsidP="001362A5">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F5494">
              <w:rPr>
                <w:rFonts w:asciiTheme="minorHAnsi" w:hAnsiTheme="minorHAnsi"/>
              </w:rPr>
              <w:t>177</w:t>
            </w:r>
          </w:p>
        </w:tc>
      </w:tr>
      <w:tr w:rsidR="00F84F9A" w:rsidRPr="00AE139D" w14:paraId="7F66820F" w14:textId="77777777" w:rsidTr="00E016E7">
        <w:trPr>
          <w:trHeight w:val="300"/>
          <w:jc w:val="center"/>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0499D806" w14:textId="4B853539" w:rsidR="00F84F9A" w:rsidRPr="009F5494" w:rsidRDefault="00F84F9A" w:rsidP="00EC70B8">
            <w:pPr>
              <w:contextualSpacing/>
              <w:jc w:val="center"/>
              <w:rPr>
                <w:rFonts w:asciiTheme="minorHAnsi" w:hAnsiTheme="minorHAnsi"/>
              </w:rPr>
            </w:pPr>
            <w:r w:rsidRPr="009F5494">
              <w:rPr>
                <w:rFonts w:asciiTheme="minorHAnsi" w:hAnsiTheme="minorHAnsi"/>
              </w:rPr>
              <w:t>2.</w:t>
            </w:r>
          </w:p>
        </w:tc>
        <w:tc>
          <w:tcPr>
            <w:tcW w:w="609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1D011435" w14:textId="77777777" w:rsidR="00F84F9A" w:rsidRPr="009F5494" w:rsidRDefault="00F84F9A" w:rsidP="001362A5">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F5494">
              <w:rPr>
                <w:rFonts w:asciiTheme="minorHAnsi" w:hAnsiTheme="minorHAnsi"/>
              </w:rPr>
              <w:t>Ministarstvo zdravstva</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4D70E74E" w14:textId="77777777" w:rsidR="00F84F9A" w:rsidRPr="009F5494" w:rsidRDefault="00F84F9A" w:rsidP="001362A5">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F5494">
              <w:rPr>
                <w:rFonts w:asciiTheme="minorHAnsi" w:hAnsiTheme="minorHAnsi"/>
              </w:rPr>
              <w:t>99</w:t>
            </w:r>
          </w:p>
        </w:tc>
      </w:tr>
      <w:tr w:rsidR="00F84F9A" w:rsidRPr="00AE139D" w14:paraId="20DC9AB0" w14:textId="77777777" w:rsidTr="00E016E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1A987AC7" w14:textId="5057AD90" w:rsidR="00F84F9A" w:rsidRPr="009F5494" w:rsidRDefault="00F84F9A" w:rsidP="00EC70B8">
            <w:pPr>
              <w:contextualSpacing/>
              <w:jc w:val="center"/>
              <w:rPr>
                <w:rFonts w:asciiTheme="minorHAnsi" w:hAnsiTheme="minorHAnsi"/>
              </w:rPr>
            </w:pPr>
            <w:r w:rsidRPr="009F5494">
              <w:rPr>
                <w:rFonts w:asciiTheme="minorHAnsi" w:hAnsiTheme="minorHAnsi"/>
              </w:rPr>
              <w:t>3.</w:t>
            </w:r>
          </w:p>
        </w:tc>
        <w:tc>
          <w:tcPr>
            <w:tcW w:w="609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66AAEB8C" w14:textId="77777777" w:rsidR="00F84F9A" w:rsidRPr="009F5494" w:rsidRDefault="00F84F9A" w:rsidP="001362A5">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F5494">
              <w:rPr>
                <w:rFonts w:asciiTheme="minorHAnsi" w:hAnsiTheme="minorHAnsi"/>
              </w:rPr>
              <w:t>Ministarstvo financija</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461B5019" w14:textId="77777777" w:rsidR="00F84F9A" w:rsidRPr="009F5494" w:rsidRDefault="00F84F9A" w:rsidP="001362A5">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F5494">
              <w:rPr>
                <w:rFonts w:asciiTheme="minorHAnsi" w:hAnsiTheme="minorHAnsi"/>
              </w:rPr>
              <w:t>83</w:t>
            </w:r>
          </w:p>
        </w:tc>
      </w:tr>
      <w:tr w:rsidR="00F84F9A" w:rsidRPr="00AE139D" w14:paraId="04915344" w14:textId="77777777" w:rsidTr="00E016E7">
        <w:trPr>
          <w:trHeight w:val="300"/>
          <w:jc w:val="center"/>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4A270FFA" w14:textId="4EAA4FB1" w:rsidR="00F84F9A" w:rsidRPr="009F5494" w:rsidRDefault="00F84F9A" w:rsidP="00EC70B8">
            <w:pPr>
              <w:contextualSpacing/>
              <w:jc w:val="center"/>
              <w:rPr>
                <w:rFonts w:asciiTheme="minorHAnsi" w:hAnsiTheme="minorHAnsi"/>
              </w:rPr>
            </w:pPr>
            <w:r w:rsidRPr="009F5494">
              <w:rPr>
                <w:rFonts w:asciiTheme="minorHAnsi" w:hAnsiTheme="minorHAnsi"/>
              </w:rPr>
              <w:t>4.</w:t>
            </w:r>
          </w:p>
        </w:tc>
        <w:tc>
          <w:tcPr>
            <w:tcW w:w="609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579CD2F2" w14:textId="77777777" w:rsidR="00F84F9A" w:rsidRPr="009F5494" w:rsidRDefault="00F84F9A" w:rsidP="001362A5">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F5494">
              <w:rPr>
                <w:rFonts w:asciiTheme="minorHAnsi" w:hAnsiTheme="minorHAnsi"/>
              </w:rPr>
              <w:t>Ministarstvo znanosti i obrazovanja</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365561AF" w14:textId="77777777" w:rsidR="00F84F9A" w:rsidRPr="009F5494" w:rsidRDefault="00F84F9A" w:rsidP="001362A5">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F5494">
              <w:rPr>
                <w:rFonts w:asciiTheme="minorHAnsi" w:hAnsiTheme="minorHAnsi"/>
              </w:rPr>
              <w:t>78</w:t>
            </w:r>
          </w:p>
        </w:tc>
      </w:tr>
      <w:tr w:rsidR="00F84F9A" w:rsidRPr="00AE139D" w14:paraId="00719343" w14:textId="77777777" w:rsidTr="00E016E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5633FF44" w14:textId="76C02618" w:rsidR="00F84F9A" w:rsidRPr="009F5494" w:rsidRDefault="00F84F9A" w:rsidP="00EC70B8">
            <w:pPr>
              <w:contextualSpacing/>
              <w:jc w:val="center"/>
              <w:rPr>
                <w:rFonts w:asciiTheme="minorHAnsi" w:hAnsiTheme="minorHAnsi"/>
              </w:rPr>
            </w:pPr>
            <w:r w:rsidRPr="009F5494">
              <w:rPr>
                <w:rFonts w:asciiTheme="minorHAnsi" w:hAnsiTheme="minorHAnsi"/>
              </w:rPr>
              <w:t>5.</w:t>
            </w:r>
          </w:p>
        </w:tc>
        <w:tc>
          <w:tcPr>
            <w:tcW w:w="609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23D4A9F3" w14:textId="77777777" w:rsidR="00F84F9A" w:rsidRPr="009F5494" w:rsidRDefault="00F84F9A" w:rsidP="001362A5">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F5494">
              <w:rPr>
                <w:rFonts w:asciiTheme="minorHAnsi" w:hAnsiTheme="minorHAnsi"/>
              </w:rPr>
              <w:t>Ministarstvo zaštite okoliša i energetike</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30888560" w14:textId="77777777" w:rsidR="00F84F9A" w:rsidRPr="009F5494" w:rsidRDefault="00F84F9A" w:rsidP="001362A5">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F5494">
              <w:rPr>
                <w:rFonts w:asciiTheme="minorHAnsi" w:hAnsiTheme="minorHAnsi"/>
              </w:rPr>
              <w:t>77</w:t>
            </w:r>
          </w:p>
        </w:tc>
      </w:tr>
      <w:tr w:rsidR="00F84F9A" w:rsidRPr="00AE139D" w14:paraId="53A51F8E" w14:textId="77777777" w:rsidTr="00E016E7">
        <w:trPr>
          <w:trHeight w:val="300"/>
          <w:jc w:val="center"/>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202B2D96" w14:textId="44825D08" w:rsidR="00F84F9A" w:rsidRPr="009F5494" w:rsidRDefault="00F84F9A" w:rsidP="00EC70B8">
            <w:pPr>
              <w:contextualSpacing/>
              <w:jc w:val="center"/>
              <w:rPr>
                <w:rFonts w:asciiTheme="minorHAnsi" w:hAnsiTheme="minorHAnsi"/>
              </w:rPr>
            </w:pPr>
            <w:r w:rsidRPr="009F5494">
              <w:rPr>
                <w:rFonts w:asciiTheme="minorHAnsi" w:hAnsiTheme="minorHAnsi"/>
              </w:rPr>
              <w:t>6.</w:t>
            </w:r>
          </w:p>
        </w:tc>
        <w:tc>
          <w:tcPr>
            <w:tcW w:w="609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33808878" w14:textId="77777777" w:rsidR="00F84F9A" w:rsidRPr="009F5494" w:rsidRDefault="00F84F9A" w:rsidP="001362A5">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F5494">
              <w:rPr>
                <w:rFonts w:asciiTheme="minorHAnsi" w:hAnsiTheme="minorHAnsi"/>
              </w:rPr>
              <w:t>Ministarstvo pravosuđa</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650032AE" w14:textId="77777777" w:rsidR="00F84F9A" w:rsidRPr="009F5494" w:rsidRDefault="00F84F9A" w:rsidP="001362A5">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F5494">
              <w:rPr>
                <w:rFonts w:asciiTheme="minorHAnsi" w:hAnsiTheme="minorHAnsi"/>
              </w:rPr>
              <w:t>53</w:t>
            </w:r>
          </w:p>
        </w:tc>
      </w:tr>
      <w:tr w:rsidR="00F84F9A" w:rsidRPr="00AE139D" w14:paraId="28780B42" w14:textId="77777777" w:rsidTr="00E016E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00B860C2" w14:textId="5837CE8D" w:rsidR="00F84F9A" w:rsidRPr="009F5494" w:rsidRDefault="00F84F9A" w:rsidP="00EC70B8">
            <w:pPr>
              <w:contextualSpacing/>
              <w:jc w:val="center"/>
              <w:rPr>
                <w:rFonts w:asciiTheme="minorHAnsi" w:hAnsiTheme="minorHAnsi"/>
              </w:rPr>
            </w:pPr>
            <w:r w:rsidRPr="009F5494">
              <w:rPr>
                <w:rFonts w:asciiTheme="minorHAnsi" w:hAnsiTheme="minorHAnsi"/>
              </w:rPr>
              <w:t>7.</w:t>
            </w:r>
          </w:p>
        </w:tc>
        <w:tc>
          <w:tcPr>
            <w:tcW w:w="609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3C64A19B" w14:textId="77777777" w:rsidR="00F84F9A" w:rsidRPr="009F5494" w:rsidRDefault="00F84F9A" w:rsidP="001362A5">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F5494">
              <w:rPr>
                <w:rFonts w:asciiTheme="minorHAnsi" w:hAnsiTheme="minorHAnsi"/>
              </w:rPr>
              <w:t>Hrvatska agencija za nadzor financijskih usluga</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7B989AD0" w14:textId="77777777" w:rsidR="00F84F9A" w:rsidRPr="009F5494" w:rsidRDefault="00F84F9A" w:rsidP="001362A5">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F5494">
              <w:rPr>
                <w:rFonts w:asciiTheme="minorHAnsi" w:hAnsiTheme="minorHAnsi"/>
              </w:rPr>
              <w:t>47</w:t>
            </w:r>
          </w:p>
        </w:tc>
      </w:tr>
      <w:tr w:rsidR="00F84F9A" w:rsidRPr="00AE139D" w14:paraId="13AEABA6" w14:textId="77777777" w:rsidTr="00E016E7">
        <w:trPr>
          <w:trHeight w:val="300"/>
          <w:jc w:val="center"/>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2054B9D2" w14:textId="6FFBDE79" w:rsidR="00F84F9A" w:rsidRPr="009F5494" w:rsidRDefault="00F84F9A" w:rsidP="00EC70B8">
            <w:pPr>
              <w:contextualSpacing/>
              <w:jc w:val="center"/>
              <w:rPr>
                <w:rFonts w:asciiTheme="minorHAnsi" w:hAnsiTheme="minorHAnsi"/>
              </w:rPr>
            </w:pPr>
            <w:r w:rsidRPr="009F5494">
              <w:rPr>
                <w:rFonts w:asciiTheme="minorHAnsi" w:hAnsiTheme="minorHAnsi"/>
              </w:rPr>
              <w:t>8.</w:t>
            </w:r>
          </w:p>
        </w:tc>
        <w:tc>
          <w:tcPr>
            <w:tcW w:w="609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6D6974C5" w14:textId="77777777" w:rsidR="00F84F9A" w:rsidRPr="009F5494" w:rsidRDefault="00F84F9A" w:rsidP="001362A5">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F5494">
              <w:rPr>
                <w:rFonts w:asciiTheme="minorHAnsi" w:hAnsiTheme="minorHAnsi"/>
              </w:rPr>
              <w:t>Ministarstvo rada i mirovinskoga sustava</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01B18E59" w14:textId="77777777" w:rsidR="00F84F9A" w:rsidRPr="009F5494" w:rsidRDefault="00F84F9A" w:rsidP="001362A5">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F5494">
              <w:rPr>
                <w:rFonts w:asciiTheme="minorHAnsi" w:hAnsiTheme="minorHAnsi"/>
              </w:rPr>
              <w:t>43</w:t>
            </w:r>
          </w:p>
        </w:tc>
      </w:tr>
      <w:tr w:rsidR="00F84F9A" w:rsidRPr="00AE139D" w14:paraId="1346F86F" w14:textId="77777777" w:rsidTr="00E016E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2EFBC571" w14:textId="2C92AD56" w:rsidR="00F84F9A" w:rsidRPr="009F5494" w:rsidRDefault="00F84F9A" w:rsidP="00EC70B8">
            <w:pPr>
              <w:contextualSpacing/>
              <w:jc w:val="center"/>
              <w:rPr>
                <w:rFonts w:asciiTheme="minorHAnsi" w:hAnsiTheme="minorHAnsi"/>
              </w:rPr>
            </w:pPr>
            <w:r w:rsidRPr="009F5494">
              <w:rPr>
                <w:rFonts w:asciiTheme="minorHAnsi" w:hAnsiTheme="minorHAnsi"/>
              </w:rPr>
              <w:t>9.</w:t>
            </w:r>
          </w:p>
        </w:tc>
        <w:tc>
          <w:tcPr>
            <w:tcW w:w="609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0BD24B22" w14:textId="77777777" w:rsidR="00F84F9A" w:rsidRPr="009F5494" w:rsidRDefault="00F84F9A" w:rsidP="001362A5">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F5494">
              <w:rPr>
                <w:rFonts w:asciiTheme="minorHAnsi" w:hAnsiTheme="minorHAnsi"/>
              </w:rPr>
              <w:t>Ministarstvo mora, prometa i infrastrukture</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1D990AFB" w14:textId="77777777" w:rsidR="00F84F9A" w:rsidRPr="009F5494" w:rsidRDefault="00F84F9A" w:rsidP="001362A5">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F5494">
              <w:rPr>
                <w:rFonts w:asciiTheme="minorHAnsi" w:hAnsiTheme="minorHAnsi"/>
              </w:rPr>
              <w:t>41</w:t>
            </w:r>
          </w:p>
        </w:tc>
      </w:tr>
      <w:tr w:rsidR="00F84F9A" w:rsidRPr="00AE139D" w14:paraId="68E33115" w14:textId="77777777" w:rsidTr="00E016E7">
        <w:trPr>
          <w:trHeight w:val="300"/>
          <w:jc w:val="center"/>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24B5651C" w14:textId="77777777" w:rsidR="00F84F9A" w:rsidRPr="009F5494" w:rsidRDefault="00F84F9A" w:rsidP="00EC70B8">
            <w:pPr>
              <w:contextualSpacing/>
              <w:jc w:val="center"/>
              <w:rPr>
                <w:rFonts w:asciiTheme="minorHAnsi" w:hAnsiTheme="minorHAnsi"/>
              </w:rPr>
            </w:pPr>
            <w:r w:rsidRPr="009F5494">
              <w:rPr>
                <w:rFonts w:asciiTheme="minorHAnsi" w:hAnsiTheme="minorHAnsi"/>
              </w:rPr>
              <w:t>10.</w:t>
            </w:r>
          </w:p>
        </w:tc>
        <w:tc>
          <w:tcPr>
            <w:tcW w:w="609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5DF4B225" w14:textId="77777777" w:rsidR="00F84F9A" w:rsidRPr="009F5494" w:rsidRDefault="00F84F9A" w:rsidP="001362A5">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F5494">
              <w:rPr>
                <w:rFonts w:asciiTheme="minorHAnsi" w:hAnsiTheme="minorHAnsi"/>
              </w:rPr>
              <w:t>Ministarstvo gospodarstva, poduzetništva i obrta</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0F632084" w14:textId="77777777" w:rsidR="00F84F9A" w:rsidRPr="009F5494" w:rsidRDefault="00F84F9A" w:rsidP="001362A5">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F5494">
              <w:rPr>
                <w:rFonts w:asciiTheme="minorHAnsi" w:hAnsiTheme="minorHAnsi"/>
              </w:rPr>
              <w:t>41</w:t>
            </w:r>
          </w:p>
        </w:tc>
      </w:tr>
      <w:tr w:rsidR="00F84F9A" w:rsidRPr="00AE139D" w14:paraId="121FD6F6" w14:textId="77777777" w:rsidTr="00E016E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6EDED741" w14:textId="73B83DD1" w:rsidR="00F84F9A" w:rsidRPr="009F5494" w:rsidRDefault="00F84F9A" w:rsidP="00EC70B8">
            <w:pPr>
              <w:contextualSpacing/>
              <w:jc w:val="center"/>
              <w:rPr>
                <w:rFonts w:asciiTheme="minorHAnsi" w:hAnsiTheme="minorHAnsi"/>
              </w:rPr>
            </w:pPr>
            <w:r w:rsidRPr="009F5494">
              <w:rPr>
                <w:rFonts w:asciiTheme="minorHAnsi" w:hAnsiTheme="minorHAnsi"/>
              </w:rPr>
              <w:t>11.</w:t>
            </w:r>
          </w:p>
        </w:tc>
        <w:tc>
          <w:tcPr>
            <w:tcW w:w="609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75F4D6A4" w14:textId="77777777" w:rsidR="00F84F9A" w:rsidRPr="009F5494" w:rsidRDefault="00F84F9A" w:rsidP="001362A5">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F5494">
              <w:rPr>
                <w:rFonts w:asciiTheme="minorHAnsi" w:hAnsiTheme="minorHAnsi"/>
              </w:rPr>
              <w:t>Ministarstvo graditeljstva i prostornoga uređenja</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4CDB3F7F" w14:textId="77777777" w:rsidR="00F84F9A" w:rsidRPr="009F5494" w:rsidRDefault="00F84F9A" w:rsidP="001362A5">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F5494">
              <w:rPr>
                <w:rFonts w:asciiTheme="minorHAnsi" w:hAnsiTheme="minorHAnsi"/>
              </w:rPr>
              <w:t>31</w:t>
            </w:r>
          </w:p>
        </w:tc>
      </w:tr>
      <w:tr w:rsidR="00F84F9A" w:rsidRPr="00AE139D" w14:paraId="778E9D5B" w14:textId="77777777" w:rsidTr="00E016E7">
        <w:trPr>
          <w:trHeight w:val="300"/>
          <w:jc w:val="center"/>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6A865D74" w14:textId="7E288038" w:rsidR="00F84F9A" w:rsidRPr="009F5494" w:rsidRDefault="00F84F9A" w:rsidP="00EC70B8">
            <w:pPr>
              <w:contextualSpacing/>
              <w:jc w:val="center"/>
              <w:rPr>
                <w:rFonts w:asciiTheme="minorHAnsi" w:hAnsiTheme="minorHAnsi"/>
              </w:rPr>
            </w:pPr>
            <w:r w:rsidRPr="009F5494">
              <w:rPr>
                <w:rFonts w:asciiTheme="minorHAnsi" w:hAnsiTheme="minorHAnsi"/>
              </w:rPr>
              <w:t>12.</w:t>
            </w:r>
          </w:p>
        </w:tc>
        <w:tc>
          <w:tcPr>
            <w:tcW w:w="609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3FBC0CEC" w14:textId="77777777" w:rsidR="00F84F9A" w:rsidRPr="009F5494" w:rsidRDefault="00F84F9A" w:rsidP="001362A5">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F5494">
              <w:rPr>
                <w:rFonts w:asciiTheme="minorHAnsi" w:hAnsiTheme="minorHAnsi"/>
              </w:rPr>
              <w:t>Hrvatska narodna banka</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2C489526" w14:textId="77777777" w:rsidR="00F84F9A" w:rsidRPr="009F5494" w:rsidRDefault="00F84F9A" w:rsidP="001362A5">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F5494">
              <w:rPr>
                <w:rFonts w:asciiTheme="minorHAnsi" w:hAnsiTheme="minorHAnsi"/>
              </w:rPr>
              <w:t>30</w:t>
            </w:r>
          </w:p>
        </w:tc>
      </w:tr>
      <w:tr w:rsidR="00F84F9A" w:rsidRPr="00AE139D" w14:paraId="16C6D8EA" w14:textId="77777777" w:rsidTr="00E016E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3537A1FF" w14:textId="77777777" w:rsidR="00F84F9A" w:rsidRPr="009F5494" w:rsidRDefault="00F84F9A" w:rsidP="00EC70B8">
            <w:pPr>
              <w:contextualSpacing/>
              <w:jc w:val="center"/>
              <w:rPr>
                <w:rFonts w:asciiTheme="minorHAnsi" w:hAnsiTheme="minorHAnsi"/>
              </w:rPr>
            </w:pPr>
            <w:r w:rsidRPr="009F5494">
              <w:rPr>
                <w:rFonts w:asciiTheme="minorHAnsi" w:hAnsiTheme="minorHAnsi"/>
              </w:rPr>
              <w:t>13.</w:t>
            </w:r>
          </w:p>
        </w:tc>
        <w:tc>
          <w:tcPr>
            <w:tcW w:w="609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324E89E1" w14:textId="77777777" w:rsidR="00F84F9A" w:rsidRPr="009F5494" w:rsidRDefault="00F84F9A" w:rsidP="001362A5">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F5494">
              <w:rPr>
                <w:rFonts w:asciiTheme="minorHAnsi" w:hAnsiTheme="minorHAnsi"/>
              </w:rPr>
              <w:t>Ministarstvo regionalnoga razvoja i fondova EU</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0A0C5934" w14:textId="77777777" w:rsidR="00F84F9A" w:rsidRPr="009F5494" w:rsidRDefault="00F84F9A" w:rsidP="001362A5">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F5494">
              <w:rPr>
                <w:rFonts w:asciiTheme="minorHAnsi" w:hAnsiTheme="minorHAnsi"/>
              </w:rPr>
              <w:t>29</w:t>
            </w:r>
          </w:p>
        </w:tc>
      </w:tr>
      <w:tr w:rsidR="00F84F9A" w:rsidRPr="00AE139D" w14:paraId="0CEFF1E6" w14:textId="77777777" w:rsidTr="00E016E7">
        <w:trPr>
          <w:trHeight w:val="300"/>
          <w:jc w:val="center"/>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657C4540" w14:textId="72CBE9F0" w:rsidR="00F84F9A" w:rsidRPr="009F5494" w:rsidRDefault="00F84F9A" w:rsidP="00EC70B8">
            <w:pPr>
              <w:contextualSpacing/>
              <w:jc w:val="center"/>
              <w:rPr>
                <w:rFonts w:asciiTheme="minorHAnsi" w:hAnsiTheme="minorHAnsi"/>
              </w:rPr>
            </w:pPr>
            <w:r w:rsidRPr="009F5494">
              <w:rPr>
                <w:rFonts w:asciiTheme="minorHAnsi" w:hAnsiTheme="minorHAnsi"/>
              </w:rPr>
              <w:t>14.</w:t>
            </w:r>
          </w:p>
        </w:tc>
        <w:tc>
          <w:tcPr>
            <w:tcW w:w="609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6B798396" w14:textId="77777777" w:rsidR="00F84F9A" w:rsidRPr="009F5494" w:rsidRDefault="00F84F9A" w:rsidP="001362A5">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F5494">
              <w:rPr>
                <w:rFonts w:asciiTheme="minorHAnsi" w:hAnsiTheme="minorHAnsi"/>
              </w:rPr>
              <w:t>Ministarstvo unutarnjih poslova</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2FB9FB71" w14:textId="77777777" w:rsidR="00F84F9A" w:rsidRPr="009F5494" w:rsidRDefault="00F84F9A" w:rsidP="001362A5">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F5494">
              <w:rPr>
                <w:rFonts w:asciiTheme="minorHAnsi" w:hAnsiTheme="minorHAnsi"/>
              </w:rPr>
              <w:t>26</w:t>
            </w:r>
          </w:p>
        </w:tc>
      </w:tr>
      <w:tr w:rsidR="00F84F9A" w:rsidRPr="00AE139D" w14:paraId="7939FE30" w14:textId="77777777" w:rsidTr="00E016E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6C1FC1D8" w14:textId="13DA974C" w:rsidR="00F84F9A" w:rsidRPr="009F5494" w:rsidRDefault="00F84F9A" w:rsidP="00EC70B8">
            <w:pPr>
              <w:contextualSpacing/>
              <w:jc w:val="center"/>
              <w:rPr>
                <w:rFonts w:asciiTheme="minorHAnsi" w:hAnsiTheme="minorHAnsi"/>
              </w:rPr>
            </w:pPr>
            <w:r w:rsidRPr="009F5494">
              <w:rPr>
                <w:rFonts w:asciiTheme="minorHAnsi" w:hAnsiTheme="minorHAnsi"/>
              </w:rPr>
              <w:t>15.</w:t>
            </w:r>
          </w:p>
        </w:tc>
        <w:tc>
          <w:tcPr>
            <w:tcW w:w="609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195C6BA4" w14:textId="77777777" w:rsidR="00F84F9A" w:rsidRPr="009F5494" w:rsidRDefault="00F84F9A" w:rsidP="001362A5">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F5494">
              <w:rPr>
                <w:rFonts w:asciiTheme="minorHAnsi" w:hAnsiTheme="minorHAnsi"/>
              </w:rPr>
              <w:t>Ministarstvo za demografiju, obitelj, mlade i socijalnu politiku</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099A22E9" w14:textId="77777777" w:rsidR="00F84F9A" w:rsidRPr="009F5494" w:rsidRDefault="00F84F9A" w:rsidP="001362A5">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F5494">
              <w:rPr>
                <w:rFonts w:asciiTheme="minorHAnsi" w:hAnsiTheme="minorHAnsi"/>
              </w:rPr>
              <w:t>25</w:t>
            </w:r>
          </w:p>
        </w:tc>
      </w:tr>
      <w:tr w:rsidR="00F84F9A" w:rsidRPr="00AE139D" w14:paraId="6E06E7EF" w14:textId="77777777" w:rsidTr="00E016E7">
        <w:trPr>
          <w:trHeight w:val="300"/>
          <w:jc w:val="center"/>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tcPr>
          <w:p w14:paraId="40D96475" w14:textId="0AA11653" w:rsidR="00F84F9A" w:rsidRPr="009F5494" w:rsidRDefault="00F84F9A" w:rsidP="00EC70B8">
            <w:pPr>
              <w:contextualSpacing/>
              <w:jc w:val="center"/>
              <w:rPr>
                <w:rFonts w:asciiTheme="minorHAnsi" w:hAnsiTheme="minorHAnsi"/>
              </w:rPr>
            </w:pPr>
            <w:r w:rsidRPr="009F5494">
              <w:rPr>
                <w:rFonts w:asciiTheme="minorHAnsi" w:hAnsiTheme="minorHAnsi"/>
              </w:rPr>
              <w:t>16.</w:t>
            </w:r>
          </w:p>
        </w:tc>
        <w:tc>
          <w:tcPr>
            <w:tcW w:w="609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tcPr>
          <w:p w14:paraId="6EEFC16E" w14:textId="77777777" w:rsidR="00F84F9A" w:rsidRPr="009F5494" w:rsidRDefault="00F84F9A" w:rsidP="001362A5">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F5494">
              <w:rPr>
                <w:rFonts w:asciiTheme="minorHAnsi" w:hAnsiTheme="minorHAnsi"/>
              </w:rPr>
              <w:t>Ministarstvo hrvatskih branitelja</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tcPr>
          <w:p w14:paraId="7EDC8C7F" w14:textId="77777777" w:rsidR="00F84F9A" w:rsidRPr="009F5494" w:rsidRDefault="00F84F9A" w:rsidP="001362A5">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F5494">
              <w:rPr>
                <w:rFonts w:asciiTheme="minorHAnsi" w:hAnsiTheme="minorHAnsi"/>
              </w:rPr>
              <w:t>20</w:t>
            </w:r>
          </w:p>
        </w:tc>
      </w:tr>
      <w:tr w:rsidR="00F84F9A" w:rsidRPr="00AE139D" w14:paraId="47EED688" w14:textId="77777777" w:rsidTr="00E016E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19FCA926" w14:textId="60E213C4" w:rsidR="00F84F9A" w:rsidRPr="009F5494" w:rsidRDefault="00F84F9A" w:rsidP="00EC70B8">
            <w:pPr>
              <w:contextualSpacing/>
              <w:jc w:val="center"/>
              <w:rPr>
                <w:rFonts w:asciiTheme="minorHAnsi" w:hAnsiTheme="minorHAnsi"/>
              </w:rPr>
            </w:pPr>
            <w:r w:rsidRPr="009F5494">
              <w:rPr>
                <w:rFonts w:asciiTheme="minorHAnsi" w:hAnsiTheme="minorHAnsi"/>
              </w:rPr>
              <w:t>17.</w:t>
            </w:r>
          </w:p>
        </w:tc>
        <w:tc>
          <w:tcPr>
            <w:tcW w:w="609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0CF1CAE2" w14:textId="77777777" w:rsidR="00F84F9A" w:rsidRPr="009F5494" w:rsidRDefault="00F84F9A" w:rsidP="001362A5">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F5494">
              <w:rPr>
                <w:rFonts w:asciiTheme="minorHAnsi" w:hAnsiTheme="minorHAnsi"/>
              </w:rPr>
              <w:t>Ministarstvo kulture</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3300FCCB" w14:textId="77777777" w:rsidR="00F84F9A" w:rsidRPr="009F5494" w:rsidRDefault="00F84F9A" w:rsidP="001362A5">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F5494">
              <w:rPr>
                <w:rFonts w:asciiTheme="minorHAnsi" w:hAnsiTheme="minorHAnsi"/>
              </w:rPr>
              <w:t>17</w:t>
            </w:r>
          </w:p>
        </w:tc>
      </w:tr>
      <w:tr w:rsidR="00F84F9A" w:rsidRPr="00AE139D" w14:paraId="33D84A83" w14:textId="77777777" w:rsidTr="00E016E7">
        <w:trPr>
          <w:trHeight w:val="300"/>
          <w:jc w:val="center"/>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30A8F0A1" w14:textId="2FE14465" w:rsidR="00F84F9A" w:rsidRPr="009F5494" w:rsidRDefault="00F84F9A" w:rsidP="00EC70B8">
            <w:pPr>
              <w:contextualSpacing/>
              <w:jc w:val="center"/>
              <w:rPr>
                <w:rFonts w:asciiTheme="minorHAnsi" w:hAnsiTheme="minorHAnsi"/>
              </w:rPr>
            </w:pPr>
            <w:r w:rsidRPr="009F5494">
              <w:rPr>
                <w:rFonts w:asciiTheme="minorHAnsi" w:hAnsiTheme="minorHAnsi"/>
              </w:rPr>
              <w:t>18.</w:t>
            </w:r>
          </w:p>
        </w:tc>
        <w:tc>
          <w:tcPr>
            <w:tcW w:w="609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5C24266E" w14:textId="77777777" w:rsidR="00F84F9A" w:rsidRPr="009F5494" w:rsidRDefault="00F84F9A" w:rsidP="001362A5">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F5494">
              <w:rPr>
                <w:rFonts w:asciiTheme="minorHAnsi" w:hAnsiTheme="minorHAnsi"/>
              </w:rPr>
              <w:t>Ministarstvo državne imovine</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71E330E9" w14:textId="77777777" w:rsidR="00F84F9A" w:rsidRPr="009F5494" w:rsidRDefault="00F84F9A" w:rsidP="001362A5">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F5494">
              <w:rPr>
                <w:rFonts w:asciiTheme="minorHAnsi" w:hAnsiTheme="minorHAnsi"/>
              </w:rPr>
              <w:t>14</w:t>
            </w:r>
          </w:p>
        </w:tc>
      </w:tr>
      <w:tr w:rsidR="00F84F9A" w:rsidRPr="00AE139D" w14:paraId="7E78B29E" w14:textId="77777777" w:rsidTr="00E016E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0BAF64C6" w14:textId="7009A7D6" w:rsidR="00F84F9A" w:rsidRPr="009F5494" w:rsidRDefault="00F84F9A" w:rsidP="00EC70B8">
            <w:pPr>
              <w:contextualSpacing/>
              <w:jc w:val="center"/>
              <w:rPr>
                <w:rFonts w:asciiTheme="minorHAnsi" w:hAnsiTheme="minorHAnsi"/>
              </w:rPr>
            </w:pPr>
            <w:r w:rsidRPr="009F5494">
              <w:rPr>
                <w:rFonts w:asciiTheme="minorHAnsi" w:hAnsiTheme="minorHAnsi"/>
              </w:rPr>
              <w:t>19.</w:t>
            </w:r>
          </w:p>
        </w:tc>
        <w:tc>
          <w:tcPr>
            <w:tcW w:w="609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62B9C9F5" w14:textId="77777777" w:rsidR="00F84F9A" w:rsidRPr="009F5494" w:rsidRDefault="00F84F9A" w:rsidP="001362A5">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F5494">
              <w:rPr>
                <w:rFonts w:asciiTheme="minorHAnsi" w:hAnsiTheme="minorHAnsi"/>
              </w:rPr>
              <w:t>Državni zavod za mjeriteljstvo</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0C85A788" w14:textId="77777777" w:rsidR="00F84F9A" w:rsidRPr="009F5494" w:rsidRDefault="00F84F9A" w:rsidP="001362A5">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F5494">
              <w:rPr>
                <w:rFonts w:asciiTheme="minorHAnsi" w:hAnsiTheme="minorHAnsi"/>
              </w:rPr>
              <w:t>14</w:t>
            </w:r>
          </w:p>
        </w:tc>
      </w:tr>
      <w:tr w:rsidR="00F84F9A" w:rsidRPr="00AE139D" w14:paraId="6C7145A7" w14:textId="77777777" w:rsidTr="00E016E7">
        <w:trPr>
          <w:trHeight w:val="300"/>
          <w:jc w:val="center"/>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776949A9" w14:textId="3D78B215" w:rsidR="00F84F9A" w:rsidRPr="009F5494" w:rsidRDefault="00F84F9A" w:rsidP="00EC70B8">
            <w:pPr>
              <w:contextualSpacing/>
              <w:jc w:val="center"/>
              <w:rPr>
                <w:rFonts w:asciiTheme="minorHAnsi" w:hAnsiTheme="minorHAnsi"/>
              </w:rPr>
            </w:pPr>
            <w:r w:rsidRPr="009F5494">
              <w:rPr>
                <w:rFonts w:asciiTheme="minorHAnsi" w:hAnsiTheme="minorHAnsi"/>
              </w:rPr>
              <w:t>20.</w:t>
            </w:r>
          </w:p>
        </w:tc>
        <w:tc>
          <w:tcPr>
            <w:tcW w:w="609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1D3BD8C0" w14:textId="77777777" w:rsidR="00F84F9A" w:rsidRPr="009F5494" w:rsidRDefault="00F84F9A" w:rsidP="001362A5">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F5494">
              <w:rPr>
                <w:rFonts w:asciiTheme="minorHAnsi" w:hAnsiTheme="minorHAnsi"/>
              </w:rPr>
              <w:t>Državni zavod za radiološku i nuklearnu sigurnost</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1BF6F713" w14:textId="77777777" w:rsidR="00F84F9A" w:rsidRPr="009F5494" w:rsidRDefault="00F84F9A" w:rsidP="001362A5">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F5494">
              <w:rPr>
                <w:rFonts w:asciiTheme="minorHAnsi" w:hAnsiTheme="minorHAnsi"/>
              </w:rPr>
              <w:t>14</w:t>
            </w:r>
          </w:p>
        </w:tc>
      </w:tr>
      <w:tr w:rsidR="00F84F9A" w:rsidRPr="00AE139D" w14:paraId="46FAAC4B" w14:textId="77777777" w:rsidTr="00E016E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508A08E2" w14:textId="5A54947D" w:rsidR="00F84F9A" w:rsidRPr="009F5494" w:rsidRDefault="00F84F9A" w:rsidP="00EC70B8">
            <w:pPr>
              <w:contextualSpacing/>
              <w:jc w:val="center"/>
              <w:rPr>
                <w:rFonts w:asciiTheme="minorHAnsi" w:hAnsiTheme="minorHAnsi"/>
              </w:rPr>
            </w:pPr>
            <w:r w:rsidRPr="009F5494">
              <w:rPr>
                <w:rFonts w:asciiTheme="minorHAnsi" w:hAnsiTheme="minorHAnsi"/>
              </w:rPr>
              <w:t>21.</w:t>
            </w:r>
          </w:p>
        </w:tc>
        <w:tc>
          <w:tcPr>
            <w:tcW w:w="609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5A83B19F" w14:textId="77777777" w:rsidR="00F84F9A" w:rsidRPr="009F5494" w:rsidRDefault="00F84F9A" w:rsidP="001362A5">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F5494">
              <w:rPr>
                <w:rFonts w:asciiTheme="minorHAnsi" w:hAnsiTheme="minorHAnsi"/>
              </w:rPr>
              <w:t>Ministarstvo uprave</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094213B5" w14:textId="77777777" w:rsidR="00F84F9A" w:rsidRPr="009F5494" w:rsidRDefault="00F84F9A" w:rsidP="001362A5">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F5494">
              <w:rPr>
                <w:rFonts w:asciiTheme="minorHAnsi" w:hAnsiTheme="minorHAnsi"/>
              </w:rPr>
              <w:t>13</w:t>
            </w:r>
          </w:p>
        </w:tc>
      </w:tr>
      <w:tr w:rsidR="00F84F9A" w:rsidRPr="00AE139D" w14:paraId="0FF79B3C" w14:textId="77777777" w:rsidTr="00E016E7">
        <w:trPr>
          <w:trHeight w:val="300"/>
          <w:jc w:val="center"/>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19B0932A" w14:textId="79D15679" w:rsidR="00F84F9A" w:rsidRPr="009F5494" w:rsidRDefault="00F84F9A" w:rsidP="00EC70B8">
            <w:pPr>
              <w:contextualSpacing/>
              <w:jc w:val="center"/>
              <w:rPr>
                <w:rFonts w:asciiTheme="minorHAnsi" w:hAnsiTheme="minorHAnsi"/>
              </w:rPr>
            </w:pPr>
            <w:r w:rsidRPr="009F5494">
              <w:rPr>
                <w:rFonts w:asciiTheme="minorHAnsi" w:hAnsiTheme="minorHAnsi"/>
              </w:rPr>
              <w:t>22.</w:t>
            </w:r>
          </w:p>
        </w:tc>
        <w:tc>
          <w:tcPr>
            <w:tcW w:w="609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260A6489" w14:textId="77777777" w:rsidR="00F84F9A" w:rsidRPr="009F5494" w:rsidRDefault="00F84F9A" w:rsidP="001362A5">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F5494">
              <w:rPr>
                <w:rFonts w:asciiTheme="minorHAnsi" w:hAnsiTheme="minorHAnsi"/>
              </w:rPr>
              <w:t>Ministarstvo turizma</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77BFB109" w14:textId="77777777" w:rsidR="00F84F9A" w:rsidRPr="009F5494" w:rsidRDefault="00F84F9A" w:rsidP="001362A5">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F5494">
              <w:rPr>
                <w:rFonts w:asciiTheme="minorHAnsi" w:hAnsiTheme="minorHAnsi"/>
              </w:rPr>
              <w:t>11</w:t>
            </w:r>
          </w:p>
        </w:tc>
      </w:tr>
      <w:tr w:rsidR="00F84F9A" w:rsidRPr="00AE139D" w14:paraId="522C0556" w14:textId="77777777" w:rsidTr="00E016E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290B151B" w14:textId="6EEF62B4" w:rsidR="00F84F9A" w:rsidRPr="009F5494" w:rsidRDefault="00F84F9A" w:rsidP="00EC70B8">
            <w:pPr>
              <w:contextualSpacing/>
              <w:jc w:val="center"/>
              <w:rPr>
                <w:rFonts w:asciiTheme="minorHAnsi" w:hAnsiTheme="minorHAnsi"/>
              </w:rPr>
            </w:pPr>
            <w:r w:rsidRPr="009F5494">
              <w:rPr>
                <w:rFonts w:asciiTheme="minorHAnsi" w:hAnsiTheme="minorHAnsi"/>
              </w:rPr>
              <w:t>23.</w:t>
            </w:r>
          </w:p>
        </w:tc>
        <w:tc>
          <w:tcPr>
            <w:tcW w:w="609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29356B27" w14:textId="77777777" w:rsidR="00F84F9A" w:rsidRPr="009F5494" w:rsidRDefault="00F84F9A" w:rsidP="001362A5">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F5494">
              <w:rPr>
                <w:rFonts w:asciiTheme="minorHAnsi" w:hAnsiTheme="minorHAnsi"/>
              </w:rPr>
              <w:t>Državna geodetska uprava</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015C6F71" w14:textId="77777777" w:rsidR="00F84F9A" w:rsidRPr="009F5494" w:rsidRDefault="00F84F9A" w:rsidP="001362A5">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F5494">
              <w:rPr>
                <w:rFonts w:asciiTheme="minorHAnsi" w:hAnsiTheme="minorHAnsi"/>
              </w:rPr>
              <w:t>7</w:t>
            </w:r>
          </w:p>
        </w:tc>
      </w:tr>
      <w:tr w:rsidR="00F84F9A" w:rsidRPr="00AE139D" w14:paraId="610ABEE9" w14:textId="77777777" w:rsidTr="00E016E7">
        <w:trPr>
          <w:trHeight w:val="300"/>
          <w:jc w:val="center"/>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tcPr>
          <w:p w14:paraId="7DD5926D" w14:textId="70AA923E" w:rsidR="00F84F9A" w:rsidRPr="009F5494" w:rsidRDefault="00F84F9A" w:rsidP="00EC70B8">
            <w:pPr>
              <w:contextualSpacing/>
              <w:jc w:val="center"/>
              <w:rPr>
                <w:rFonts w:asciiTheme="minorHAnsi" w:hAnsiTheme="minorHAnsi"/>
              </w:rPr>
            </w:pPr>
            <w:r w:rsidRPr="009F5494">
              <w:rPr>
                <w:rFonts w:asciiTheme="minorHAnsi" w:hAnsiTheme="minorHAnsi"/>
              </w:rPr>
              <w:t>24.</w:t>
            </w:r>
          </w:p>
        </w:tc>
        <w:tc>
          <w:tcPr>
            <w:tcW w:w="609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tcPr>
          <w:p w14:paraId="055F5145" w14:textId="77777777" w:rsidR="00F84F9A" w:rsidRPr="009F5494" w:rsidRDefault="00F84F9A" w:rsidP="001362A5">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F5494">
              <w:rPr>
                <w:rFonts w:asciiTheme="minorHAnsi" w:hAnsiTheme="minorHAnsi"/>
              </w:rPr>
              <w:t>Središnji državni ured za razvoj digitalnog društva</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tcPr>
          <w:p w14:paraId="34BD664F" w14:textId="77777777" w:rsidR="00F84F9A" w:rsidRPr="009F5494" w:rsidRDefault="00F84F9A" w:rsidP="001362A5">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F5494">
              <w:rPr>
                <w:rFonts w:asciiTheme="minorHAnsi" w:hAnsiTheme="minorHAnsi"/>
              </w:rPr>
              <w:t>5</w:t>
            </w:r>
          </w:p>
        </w:tc>
      </w:tr>
      <w:tr w:rsidR="00F84F9A" w:rsidRPr="00AE139D" w14:paraId="542D5806" w14:textId="77777777" w:rsidTr="00E016E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744AE528" w14:textId="32285593" w:rsidR="00F84F9A" w:rsidRPr="009F5494" w:rsidRDefault="00EC70B8" w:rsidP="00EC70B8">
            <w:pPr>
              <w:contextualSpacing/>
              <w:jc w:val="center"/>
              <w:rPr>
                <w:rFonts w:asciiTheme="minorHAnsi" w:hAnsiTheme="minorHAnsi"/>
              </w:rPr>
            </w:pPr>
            <w:r w:rsidRPr="009F5494">
              <w:rPr>
                <w:rFonts w:asciiTheme="minorHAnsi" w:hAnsiTheme="minorHAnsi"/>
              </w:rPr>
              <w:t>25.</w:t>
            </w:r>
          </w:p>
        </w:tc>
        <w:tc>
          <w:tcPr>
            <w:tcW w:w="609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78461AAD" w14:textId="77777777" w:rsidR="00F84F9A" w:rsidRPr="009F5494" w:rsidRDefault="00F84F9A" w:rsidP="001362A5">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F5494">
              <w:rPr>
                <w:rFonts w:asciiTheme="minorHAnsi" w:hAnsiTheme="minorHAnsi"/>
              </w:rPr>
              <w:t>Ministarstvo obrane</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347A5576" w14:textId="77777777" w:rsidR="00F84F9A" w:rsidRPr="009F5494" w:rsidRDefault="00F84F9A" w:rsidP="001362A5">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F5494">
              <w:rPr>
                <w:rFonts w:asciiTheme="minorHAnsi" w:hAnsiTheme="minorHAnsi"/>
              </w:rPr>
              <w:t>4</w:t>
            </w:r>
          </w:p>
        </w:tc>
      </w:tr>
      <w:tr w:rsidR="00F84F9A" w:rsidRPr="00AE139D" w14:paraId="0BC8E363" w14:textId="77777777" w:rsidTr="00E016E7">
        <w:trPr>
          <w:trHeight w:val="300"/>
          <w:jc w:val="center"/>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tcPr>
          <w:p w14:paraId="6A96B4F2" w14:textId="5067AE9C" w:rsidR="00F84F9A" w:rsidRPr="009F5494" w:rsidRDefault="00EC70B8" w:rsidP="00EC70B8">
            <w:pPr>
              <w:contextualSpacing/>
              <w:jc w:val="center"/>
              <w:rPr>
                <w:rFonts w:asciiTheme="minorHAnsi" w:hAnsiTheme="minorHAnsi"/>
              </w:rPr>
            </w:pPr>
            <w:r w:rsidRPr="009F5494">
              <w:rPr>
                <w:rFonts w:asciiTheme="minorHAnsi" w:hAnsiTheme="minorHAnsi"/>
              </w:rPr>
              <w:t>26</w:t>
            </w:r>
            <w:r w:rsidR="00F84F9A" w:rsidRPr="009F5494">
              <w:rPr>
                <w:rFonts w:asciiTheme="minorHAnsi" w:hAnsiTheme="minorHAnsi"/>
              </w:rPr>
              <w:t>.</w:t>
            </w:r>
          </w:p>
        </w:tc>
        <w:tc>
          <w:tcPr>
            <w:tcW w:w="609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tcPr>
          <w:p w14:paraId="32A88ECB" w14:textId="77777777" w:rsidR="00F84F9A" w:rsidRPr="009F5494" w:rsidRDefault="00F84F9A" w:rsidP="001362A5">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F5494">
              <w:rPr>
                <w:rFonts w:asciiTheme="minorHAnsi" w:hAnsiTheme="minorHAnsi"/>
              </w:rPr>
              <w:t>Ministarstvo vanjskih i europskih poslova</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tcPr>
          <w:p w14:paraId="077AC449" w14:textId="77777777" w:rsidR="00F84F9A" w:rsidRPr="009F5494" w:rsidRDefault="00F84F9A" w:rsidP="001362A5">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F5494">
              <w:rPr>
                <w:rFonts w:asciiTheme="minorHAnsi" w:hAnsiTheme="minorHAnsi"/>
              </w:rPr>
              <w:t>4</w:t>
            </w:r>
          </w:p>
        </w:tc>
      </w:tr>
      <w:tr w:rsidR="00F84F9A" w:rsidRPr="00AE139D" w14:paraId="65141EF8" w14:textId="77777777" w:rsidTr="00E016E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34C80FA7" w14:textId="34A27814" w:rsidR="00F84F9A" w:rsidRPr="009F5494" w:rsidRDefault="00EC70B8" w:rsidP="00EC70B8">
            <w:pPr>
              <w:contextualSpacing/>
              <w:jc w:val="center"/>
              <w:rPr>
                <w:rFonts w:asciiTheme="minorHAnsi" w:hAnsiTheme="minorHAnsi"/>
              </w:rPr>
            </w:pPr>
            <w:r w:rsidRPr="009F5494">
              <w:rPr>
                <w:rFonts w:asciiTheme="minorHAnsi" w:hAnsiTheme="minorHAnsi"/>
              </w:rPr>
              <w:t>27</w:t>
            </w:r>
            <w:r w:rsidR="00F84F9A" w:rsidRPr="009F5494">
              <w:rPr>
                <w:rFonts w:asciiTheme="minorHAnsi" w:hAnsiTheme="minorHAnsi"/>
              </w:rPr>
              <w:t>.</w:t>
            </w:r>
          </w:p>
        </w:tc>
        <w:tc>
          <w:tcPr>
            <w:tcW w:w="609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7A0D4677" w14:textId="77777777" w:rsidR="00F84F9A" w:rsidRPr="009F5494" w:rsidRDefault="00F84F9A" w:rsidP="001362A5">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F5494">
              <w:rPr>
                <w:rFonts w:asciiTheme="minorHAnsi" w:hAnsiTheme="minorHAnsi"/>
              </w:rPr>
              <w:t>Ured za udruge Vlade RH</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6A554A66" w14:textId="77777777" w:rsidR="00F84F9A" w:rsidRPr="009F5494" w:rsidRDefault="00F84F9A" w:rsidP="001362A5">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F5494">
              <w:rPr>
                <w:rFonts w:asciiTheme="minorHAnsi" w:hAnsiTheme="minorHAnsi"/>
              </w:rPr>
              <w:t>4</w:t>
            </w:r>
          </w:p>
        </w:tc>
      </w:tr>
      <w:tr w:rsidR="00F84F9A" w:rsidRPr="00AE139D" w14:paraId="3D693511" w14:textId="77777777" w:rsidTr="00E016E7">
        <w:trPr>
          <w:trHeight w:val="300"/>
          <w:jc w:val="center"/>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tcPr>
          <w:p w14:paraId="4FF4E9DB" w14:textId="5CD5B8A8" w:rsidR="00F84F9A" w:rsidRPr="009F5494" w:rsidRDefault="00EC70B8" w:rsidP="00EC70B8">
            <w:pPr>
              <w:contextualSpacing/>
              <w:jc w:val="center"/>
              <w:rPr>
                <w:rFonts w:asciiTheme="minorHAnsi" w:hAnsiTheme="minorHAnsi"/>
              </w:rPr>
            </w:pPr>
            <w:r w:rsidRPr="009F5494">
              <w:rPr>
                <w:rFonts w:asciiTheme="minorHAnsi" w:hAnsiTheme="minorHAnsi"/>
              </w:rPr>
              <w:t>28</w:t>
            </w:r>
            <w:r w:rsidR="00F84F9A" w:rsidRPr="009F5494">
              <w:rPr>
                <w:rFonts w:asciiTheme="minorHAnsi" w:hAnsiTheme="minorHAnsi"/>
              </w:rPr>
              <w:t>.</w:t>
            </w:r>
          </w:p>
        </w:tc>
        <w:tc>
          <w:tcPr>
            <w:tcW w:w="609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tcPr>
          <w:p w14:paraId="01BC67A1" w14:textId="77777777" w:rsidR="00F84F9A" w:rsidRPr="009F5494" w:rsidRDefault="00F84F9A" w:rsidP="001362A5">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F5494">
              <w:rPr>
                <w:rFonts w:asciiTheme="minorHAnsi" w:hAnsiTheme="minorHAnsi"/>
              </w:rPr>
              <w:t>Središnji državni ured za Hrvate izvan Republike Hrvatske</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tcPr>
          <w:p w14:paraId="33E042A3" w14:textId="77777777" w:rsidR="00F84F9A" w:rsidRPr="009F5494" w:rsidRDefault="00F84F9A" w:rsidP="001362A5">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F5494">
              <w:rPr>
                <w:rFonts w:asciiTheme="minorHAnsi" w:hAnsiTheme="minorHAnsi"/>
              </w:rPr>
              <w:t>4</w:t>
            </w:r>
          </w:p>
        </w:tc>
      </w:tr>
      <w:tr w:rsidR="00F84F9A" w:rsidRPr="00AE139D" w14:paraId="652CA056" w14:textId="77777777" w:rsidTr="00E016E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tcPr>
          <w:p w14:paraId="0825B375" w14:textId="77777777" w:rsidR="00F84F9A" w:rsidRPr="009F5494" w:rsidRDefault="00F84F9A" w:rsidP="00EC70B8">
            <w:pPr>
              <w:contextualSpacing/>
              <w:jc w:val="center"/>
              <w:rPr>
                <w:rFonts w:asciiTheme="minorHAnsi" w:hAnsiTheme="minorHAnsi"/>
              </w:rPr>
            </w:pPr>
            <w:r w:rsidRPr="009F5494">
              <w:rPr>
                <w:rFonts w:asciiTheme="minorHAnsi" w:hAnsiTheme="minorHAnsi"/>
              </w:rPr>
              <w:t>29.</w:t>
            </w:r>
          </w:p>
        </w:tc>
        <w:tc>
          <w:tcPr>
            <w:tcW w:w="609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tcPr>
          <w:p w14:paraId="296240A9" w14:textId="77777777" w:rsidR="00F84F9A" w:rsidRPr="009F5494" w:rsidRDefault="00F84F9A" w:rsidP="001362A5">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F5494">
              <w:rPr>
                <w:rFonts w:asciiTheme="minorHAnsi" w:hAnsiTheme="minorHAnsi"/>
              </w:rPr>
              <w:t>Središnji državni ured za šport</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tcPr>
          <w:p w14:paraId="39574CDE" w14:textId="77777777" w:rsidR="00F84F9A" w:rsidRPr="009F5494" w:rsidRDefault="00F84F9A" w:rsidP="001362A5">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F5494">
              <w:rPr>
                <w:rFonts w:asciiTheme="minorHAnsi" w:hAnsiTheme="minorHAnsi"/>
              </w:rPr>
              <w:t>3</w:t>
            </w:r>
          </w:p>
        </w:tc>
      </w:tr>
      <w:tr w:rsidR="00F84F9A" w:rsidRPr="00AE139D" w14:paraId="75BB3DF7" w14:textId="77777777" w:rsidTr="00E016E7">
        <w:trPr>
          <w:trHeight w:val="300"/>
          <w:jc w:val="center"/>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7C0FEC37" w14:textId="0E19E731" w:rsidR="00F84F9A" w:rsidRPr="009F5494" w:rsidRDefault="00EC70B8" w:rsidP="00EC70B8">
            <w:pPr>
              <w:contextualSpacing/>
              <w:jc w:val="center"/>
              <w:rPr>
                <w:rFonts w:asciiTheme="minorHAnsi" w:hAnsiTheme="minorHAnsi"/>
              </w:rPr>
            </w:pPr>
            <w:r w:rsidRPr="009F5494">
              <w:rPr>
                <w:rFonts w:asciiTheme="minorHAnsi" w:hAnsiTheme="minorHAnsi"/>
              </w:rPr>
              <w:t>30</w:t>
            </w:r>
            <w:r w:rsidR="00F84F9A" w:rsidRPr="009F5494">
              <w:rPr>
                <w:rFonts w:asciiTheme="minorHAnsi" w:hAnsiTheme="minorHAnsi"/>
              </w:rPr>
              <w:t>.</w:t>
            </w:r>
          </w:p>
        </w:tc>
        <w:tc>
          <w:tcPr>
            <w:tcW w:w="609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09E5E62E" w14:textId="77777777" w:rsidR="00F84F9A" w:rsidRPr="009F5494" w:rsidRDefault="00F84F9A" w:rsidP="001362A5">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F5494">
              <w:rPr>
                <w:rFonts w:asciiTheme="minorHAnsi" w:hAnsiTheme="minorHAnsi"/>
              </w:rPr>
              <w:t>Državni zavod za intelektualno vlasništvo</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53BC3146" w14:textId="77777777" w:rsidR="00F84F9A" w:rsidRPr="009F5494" w:rsidRDefault="00F84F9A" w:rsidP="001362A5">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F5494">
              <w:rPr>
                <w:rFonts w:asciiTheme="minorHAnsi" w:hAnsiTheme="minorHAnsi"/>
              </w:rPr>
              <w:t>3</w:t>
            </w:r>
          </w:p>
        </w:tc>
      </w:tr>
      <w:tr w:rsidR="00F84F9A" w:rsidRPr="00AE139D" w14:paraId="7C9BA77C" w14:textId="77777777" w:rsidTr="00E016E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tcPr>
          <w:p w14:paraId="2B453062" w14:textId="12C6F455" w:rsidR="00F84F9A" w:rsidRPr="009F5494" w:rsidRDefault="00EC70B8" w:rsidP="00EC70B8">
            <w:pPr>
              <w:contextualSpacing/>
              <w:jc w:val="center"/>
              <w:rPr>
                <w:rFonts w:asciiTheme="minorHAnsi" w:hAnsiTheme="minorHAnsi"/>
              </w:rPr>
            </w:pPr>
            <w:r w:rsidRPr="009F5494">
              <w:rPr>
                <w:rFonts w:asciiTheme="minorHAnsi" w:hAnsiTheme="minorHAnsi"/>
              </w:rPr>
              <w:t>31</w:t>
            </w:r>
            <w:r w:rsidR="00F84F9A" w:rsidRPr="009F5494">
              <w:rPr>
                <w:rFonts w:asciiTheme="minorHAnsi" w:hAnsiTheme="minorHAnsi"/>
              </w:rPr>
              <w:t>.</w:t>
            </w:r>
          </w:p>
        </w:tc>
        <w:tc>
          <w:tcPr>
            <w:tcW w:w="609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tcPr>
          <w:p w14:paraId="185DD8A0" w14:textId="77777777" w:rsidR="00F84F9A" w:rsidRPr="009F5494" w:rsidRDefault="00F84F9A" w:rsidP="001362A5">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F5494">
              <w:rPr>
                <w:rFonts w:asciiTheme="minorHAnsi" w:hAnsiTheme="minorHAnsi"/>
              </w:rPr>
              <w:t>Ured Vijeća za nacionalnu sigurnost</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tcPr>
          <w:p w14:paraId="634C2E5E" w14:textId="77777777" w:rsidR="00F84F9A" w:rsidRPr="009F5494" w:rsidRDefault="00F84F9A" w:rsidP="001362A5">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F5494">
              <w:rPr>
                <w:rFonts w:asciiTheme="minorHAnsi" w:hAnsiTheme="minorHAnsi"/>
              </w:rPr>
              <w:t>2</w:t>
            </w:r>
          </w:p>
        </w:tc>
      </w:tr>
      <w:tr w:rsidR="00F84F9A" w:rsidRPr="00AE139D" w14:paraId="5270245B" w14:textId="77777777" w:rsidTr="00E016E7">
        <w:trPr>
          <w:trHeight w:val="300"/>
          <w:jc w:val="center"/>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7A7529FE" w14:textId="759816D3" w:rsidR="00F84F9A" w:rsidRPr="009F5494" w:rsidRDefault="00EC70B8" w:rsidP="00EC70B8">
            <w:pPr>
              <w:contextualSpacing/>
              <w:jc w:val="center"/>
              <w:rPr>
                <w:rFonts w:asciiTheme="minorHAnsi" w:hAnsiTheme="minorHAnsi"/>
              </w:rPr>
            </w:pPr>
            <w:r w:rsidRPr="009F5494">
              <w:rPr>
                <w:rFonts w:asciiTheme="minorHAnsi" w:hAnsiTheme="minorHAnsi"/>
              </w:rPr>
              <w:lastRenderedPageBreak/>
              <w:t>32</w:t>
            </w:r>
            <w:r w:rsidR="00F84F9A" w:rsidRPr="009F5494">
              <w:rPr>
                <w:rFonts w:asciiTheme="minorHAnsi" w:hAnsiTheme="minorHAnsi"/>
              </w:rPr>
              <w:t>.</w:t>
            </w:r>
          </w:p>
        </w:tc>
        <w:tc>
          <w:tcPr>
            <w:tcW w:w="609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7BD8EF7A" w14:textId="77777777" w:rsidR="00F84F9A" w:rsidRPr="009F5494" w:rsidRDefault="00F84F9A" w:rsidP="001362A5">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F5494">
              <w:rPr>
                <w:rFonts w:asciiTheme="minorHAnsi" w:hAnsiTheme="minorHAnsi"/>
              </w:rPr>
              <w:t>Državni zavod za statistiku</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4C68256A" w14:textId="77777777" w:rsidR="00F84F9A" w:rsidRPr="009F5494" w:rsidRDefault="00F84F9A" w:rsidP="001362A5">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F5494">
              <w:rPr>
                <w:rFonts w:asciiTheme="minorHAnsi" w:hAnsiTheme="minorHAnsi"/>
              </w:rPr>
              <w:t>2</w:t>
            </w:r>
          </w:p>
        </w:tc>
      </w:tr>
      <w:tr w:rsidR="00F84F9A" w:rsidRPr="00AE139D" w14:paraId="24632F15" w14:textId="77777777" w:rsidTr="00E016E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332F9086" w14:textId="66B09476" w:rsidR="00F84F9A" w:rsidRPr="009F5494" w:rsidRDefault="00EC70B8" w:rsidP="00EC70B8">
            <w:pPr>
              <w:contextualSpacing/>
              <w:jc w:val="center"/>
              <w:rPr>
                <w:rFonts w:asciiTheme="minorHAnsi" w:hAnsiTheme="minorHAnsi"/>
              </w:rPr>
            </w:pPr>
            <w:r w:rsidRPr="009F5494">
              <w:rPr>
                <w:rFonts w:asciiTheme="minorHAnsi" w:hAnsiTheme="minorHAnsi"/>
              </w:rPr>
              <w:t>33</w:t>
            </w:r>
            <w:r w:rsidR="00F84F9A" w:rsidRPr="009F5494">
              <w:rPr>
                <w:rFonts w:asciiTheme="minorHAnsi" w:hAnsiTheme="minorHAnsi"/>
              </w:rPr>
              <w:t>.</w:t>
            </w:r>
          </w:p>
        </w:tc>
        <w:tc>
          <w:tcPr>
            <w:tcW w:w="609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42C839E0" w14:textId="77777777" w:rsidR="00F84F9A" w:rsidRPr="009F5494" w:rsidRDefault="00F84F9A" w:rsidP="001362A5">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F5494">
              <w:rPr>
                <w:rFonts w:asciiTheme="minorHAnsi" w:hAnsiTheme="minorHAnsi"/>
              </w:rPr>
              <w:t>Ured za suzbijanje zlouporabe droga Vlade RH</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16610E02" w14:textId="77777777" w:rsidR="00F84F9A" w:rsidRPr="009F5494" w:rsidRDefault="00F84F9A" w:rsidP="001362A5">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F5494">
              <w:rPr>
                <w:rFonts w:asciiTheme="minorHAnsi" w:hAnsiTheme="minorHAnsi"/>
              </w:rPr>
              <w:t>1</w:t>
            </w:r>
          </w:p>
        </w:tc>
      </w:tr>
      <w:tr w:rsidR="00F84F9A" w:rsidRPr="00AE139D" w14:paraId="0C3FA9A9" w14:textId="77777777" w:rsidTr="00E016E7">
        <w:trPr>
          <w:trHeight w:val="300"/>
          <w:jc w:val="center"/>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0C11EFA1" w14:textId="1F3C5DCB" w:rsidR="00F84F9A" w:rsidRPr="009F5494" w:rsidRDefault="00EC70B8" w:rsidP="00EC70B8">
            <w:pPr>
              <w:contextualSpacing/>
              <w:jc w:val="center"/>
              <w:rPr>
                <w:rFonts w:asciiTheme="minorHAnsi" w:hAnsiTheme="minorHAnsi"/>
              </w:rPr>
            </w:pPr>
            <w:r w:rsidRPr="009F5494">
              <w:rPr>
                <w:rFonts w:asciiTheme="minorHAnsi" w:hAnsiTheme="minorHAnsi"/>
              </w:rPr>
              <w:t>34</w:t>
            </w:r>
            <w:r w:rsidR="00F84F9A" w:rsidRPr="009F5494">
              <w:rPr>
                <w:rFonts w:asciiTheme="minorHAnsi" w:hAnsiTheme="minorHAnsi"/>
              </w:rPr>
              <w:t>.</w:t>
            </w:r>
          </w:p>
        </w:tc>
        <w:tc>
          <w:tcPr>
            <w:tcW w:w="609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2722B367" w14:textId="77777777" w:rsidR="00F84F9A" w:rsidRPr="009F5494" w:rsidRDefault="00F84F9A" w:rsidP="001362A5">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F5494">
              <w:rPr>
                <w:rFonts w:asciiTheme="minorHAnsi" w:hAnsiTheme="minorHAnsi"/>
              </w:rPr>
              <w:t>Ured za zakonodavstvo Vlade RH</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79494DEE" w14:textId="77777777" w:rsidR="00F84F9A" w:rsidRPr="009F5494" w:rsidRDefault="00F84F9A" w:rsidP="001362A5">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F5494">
              <w:rPr>
                <w:rFonts w:asciiTheme="minorHAnsi" w:hAnsiTheme="minorHAnsi"/>
              </w:rPr>
              <w:t>1</w:t>
            </w:r>
          </w:p>
        </w:tc>
      </w:tr>
      <w:tr w:rsidR="00F84F9A" w:rsidRPr="00AE139D" w14:paraId="0AF1FBAD" w14:textId="77777777" w:rsidTr="00E016E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015C782A" w14:textId="1B1939E3" w:rsidR="00F84F9A" w:rsidRPr="009F5494" w:rsidRDefault="00EC70B8" w:rsidP="00EC70B8">
            <w:pPr>
              <w:contextualSpacing/>
              <w:jc w:val="center"/>
              <w:rPr>
                <w:rFonts w:asciiTheme="minorHAnsi" w:hAnsiTheme="minorHAnsi"/>
              </w:rPr>
            </w:pPr>
            <w:r w:rsidRPr="009F5494">
              <w:rPr>
                <w:rFonts w:asciiTheme="minorHAnsi" w:hAnsiTheme="minorHAnsi"/>
              </w:rPr>
              <w:t>35</w:t>
            </w:r>
            <w:r w:rsidR="00F84F9A" w:rsidRPr="009F5494">
              <w:rPr>
                <w:rFonts w:asciiTheme="minorHAnsi" w:hAnsiTheme="minorHAnsi"/>
              </w:rPr>
              <w:t>.</w:t>
            </w:r>
          </w:p>
        </w:tc>
        <w:tc>
          <w:tcPr>
            <w:tcW w:w="609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537A8679" w14:textId="77777777" w:rsidR="00F84F9A" w:rsidRPr="009F5494" w:rsidRDefault="00F84F9A" w:rsidP="001362A5">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F5494">
              <w:rPr>
                <w:rFonts w:asciiTheme="minorHAnsi" w:hAnsiTheme="minorHAnsi"/>
              </w:rPr>
              <w:t>Ured za ljudska prava i prava nacionalnih manjina Vlade RH</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1E85B809" w14:textId="77777777" w:rsidR="00F84F9A" w:rsidRPr="009F5494" w:rsidRDefault="00F84F9A" w:rsidP="001362A5">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F5494">
              <w:rPr>
                <w:rFonts w:asciiTheme="minorHAnsi" w:hAnsiTheme="minorHAnsi"/>
              </w:rPr>
              <w:t>1</w:t>
            </w:r>
          </w:p>
        </w:tc>
      </w:tr>
      <w:tr w:rsidR="00F84F9A" w:rsidRPr="00AE139D" w14:paraId="2E7A64EF" w14:textId="77777777" w:rsidTr="00E016E7">
        <w:trPr>
          <w:trHeight w:val="300"/>
          <w:jc w:val="center"/>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tcPr>
          <w:p w14:paraId="0050DD7D" w14:textId="4161D57A" w:rsidR="00F84F9A" w:rsidRPr="009F5494" w:rsidRDefault="00EC70B8" w:rsidP="00EC70B8">
            <w:pPr>
              <w:contextualSpacing/>
              <w:jc w:val="center"/>
              <w:rPr>
                <w:rFonts w:asciiTheme="minorHAnsi" w:hAnsiTheme="minorHAnsi"/>
              </w:rPr>
            </w:pPr>
            <w:r w:rsidRPr="009F5494">
              <w:rPr>
                <w:rFonts w:asciiTheme="minorHAnsi" w:hAnsiTheme="minorHAnsi"/>
              </w:rPr>
              <w:t>36</w:t>
            </w:r>
            <w:r w:rsidR="00F84F9A" w:rsidRPr="009F5494">
              <w:rPr>
                <w:rFonts w:asciiTheme="minorHAnsi" w:hAnsiTheme="minorHAnsi"/>
              </w:rPr>
              <w:t>.</w:t>
            </w:r>
          </w:p>
        </w:tc>
        <w:tc>
          <w:tcPr>
            <w:tcW w:w="609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tcPr>
          <w:p w14:paraId="394DBC62" w14:textId="77777777" w:rsidR="00F84F9A" w:rsidRPr="009F5494" w:rsidRDefault="00F84F9A" w:rsidP="001362A5">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F5494">
              <w:rPr>
                <w:rFonts w:asciiTheme="minorHAnsi" w:hAnsiTheme="minorHAnsi"/>
              </w:rPr>
              <w:t>Ured za ravnopravnost spolova Vlade Republike Hrvatske</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tcPr>
          <w:p w14:paraId="7640C960" w14:textId="77777777" w:rsidR="00F84F9A" w:rsidRPr="009F5494" w:rsidRDefault="00F84F9A" w:rsidP="001362A5">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F5494">
              <w:rPr>
                <w:rFonts w:asciiTheme="minorHAnsi" w:hAnsiTheme="minorHAnsi"/>
              </w:rPr>
              <w:t>1</w:t>
            </w:r>
          </w:p>
        </w:tc>
      </w:tr>
      <w:tr w:rsidR="00F84F9A" w:rsidRPr="00AE139D" w14:paraId="2B8C4DBC" w14:textId="77777777" w:rsidTr="00E016E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287EDE72" w14:textId="0D5A8645" w:rsidR="00F84F9A" w:rsidRPr="009F5494" w:rsidRDefault="00EC70B8" w:rsidP="00EC70B8">
            <w:pPr>
              <w:contextualSpacing/>
              <w:jc w:val="center"/>
              <w:rPr>
                <w:rFonts w:asciiTheme="minorHAnsi" w:hAnsiTheme="minorHAnsi"/>
              </w:rPr>
            </w:pPr>
            <w:r w:rsidRPr="009F5494">
              <w:rPr>
                <w:rFonts w:asciiTheme="minorHAnsi" w:hAnsiTheme="minorHAnsi"/>
              </w:rPr>
              <w:t>37</w:t>
            </w:r>
            <w:r w:rsidR="00F84F9A" w:rsidRPr="009F5494">
              <w:rPr>
                <w:rFonts w:asciiTheme="minorHAnsi" w:hAnsiTheme="minorHAnsi"/>
              </w:rPr>
              <w:t>.</w:t>
            </w:r>
          </w:p>
        </w:tc>
        <w:tc>
          <w:tcPr>
            <w:tcW w:w="609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2628890B" w14:textId="77777777" w:rsidR="00F84F9A" w:rsidRPr="009F5494" w:rsidRDefault="00F84F9A" w:rsidP="001362A5">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F5494">
              <w:rPr>
                <w:rFonts w:asciiTheme="minorHAnsi" w:hAnsiTheme="minorHAnsi"/>
              </w:rPr>
              <w:t>Središnji državni ured za obnovu i stambeno zbrinjavanje</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7C1E255D" w14:textId="77777777" w:rsidR="00F84F9A" w:rsidRPr="009F5494" w:rsidRDefault="00F84F9A" w:rsidP="001362A5">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F5494">
              <w:rPr>
                <w:rFonts w:asciiTheme="minorHAnsi" w:hAnsiTheme="minorHAnsi"/>
              </w:rPr>
              <w:t>1</w:t>
            </w:r>
          </w:p>
        </w:tc>
      </w:tr>
      <w:tr w:rsidR="00F84F9A" w:rsidRPr="00AE139D" w14:paraId="5E35B2D2" w14:textId="77777777" w:rsidTr="00E016E7">
        <w:trPr>
          <w:trHeight w:val="300"/>
          <w:jc w:val="center"/>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tcPr>
          <w:p w14:paraId="408EDCF8" w14:textId="2BE5FCAD" w:rsidR="00F84F9A" w:rsidRPr="009F5494" w:rsidRDefault="00EC70B8" w:rsidP="00EC70B8">
            <w:pPr>
              <w:contextualSpacing/>
              <w:jc w:val="center"/>
              <w:rPr>
                <w:rFonts w:asciiTheme="minorHAnsi" w:hAnsiTheme="minorHAnsi"/>
              </w:rPr>
            </w:pPr>
            <w:r w:rsidRPr="009F5494">
              <w:rPr>
                <w:rFonts w:asciiTheme="minorHAnsi" w:hAnsiTheme="minorHAnsi"/>
              </w:rPr>
              <w:t>38</w:t>
            </w:r>
            <w:r w:rsidR="00F84F9A" w:rsidRPr="009F5494">
              <w:rPr>
                <w:rFonts w:asciiTheme="minorHAnsi" w:hAnsiTheme="minorHAnsi"/>
              </w:rPr>
              <w:t>.</w:t>
            </w:r>
          </w:p>
        </w:tc>
        <w:tc>
          <w:tcPr>
            <w:tcW w:w="609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tcPr>
          <w:p w14:paraId="43BFEE5C" w14:textId="77777777" w:rsidR="00F84F9A" w:rsidRPr="009F5494" w:rsidRDefault="00F84F9A" w:rsidP="001362A5">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F5494">
              <w:rPr>
                <w:rFonts w:asciiTheme="minorHAnsi" w:hAnsiTheme="minorHAnsi"/>
              </w:rPr>
              <w:t>Hrvatski audiovizualni centar</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tcPr>
          <w:p w14:paraId="35281836" w14:textId="77777777" w:rsidR="00F84F9A" w:rsidRPr="009F5494" w:rsidRDefault="00F84F9A" w:rsidP="001362A5">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F5494">
              <w:rPr>
                <w:rFonts w:asciiTheme="minorHAnsi" w:hAnsiTheme="minorHAnsi"/>
              </w:rPr>
              <w:t>1</w:t>
            </w:r>
          </w:p>
        </w:tc>
      </w:tr>
      <w:tr w:rsidR="00F84F9A" w:rsidRPr="00AE139D" w14:paraId="3EFAE36B" w14:textId="77777777" w:rsidTr="00E016E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tcPr>
          <w:p w14:paraId="4D1A0F02" w14:textId="311B32B2" w:rsidR="00F84F9A" w:rsidRPr="009F5494" w:rsidRDefault="00EC70B8" w:rsidP="00EC70B8">
            <w:pPr>
              <w:contextualSpacing/>
              <w:jc w:val="center"/>
              <w:rPr>
                <w:rFonts w:asciiTheme="minorHAnsi" w:hAnsiTheme="minorHAnsi"/>
              </w:rPr>
            </w:pPr>
            <w:r w:rsidRPr="009F5494">
              <w:rPr>
                <w:rFonts w:asciiTheme="minorHAnsi" w:hAnsiTheme="minorHAnsi"/>
              </w:rPr>
              <w:t>39</w:t>
            </w:r>
            <w:r w:rsidR="00F84F9A" w:rsidRPr="009F5494">
              <w:rPr>
                <w:rFonts w:asciiTheme="minorHAnsi" w:hAnsiTheme="minorHAnsi"/>
              </w:rPr>
              <w:t>.</w:t>
            </w:r>
          </w:p>
        </w:tc>
        <w:tc>
          <w:tcPr>
            <w:tcW w:w="609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tcPr>
          <w:p w14:paraId="7BBEAF11" w14:textId="77777777" w:rsidR="00F84F9A" w:rsidRPr="009F5494" w:rsidRDefault="00F84F9A" w:rsidP="001362A5">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F5494">
              <w:rPr>
                <w:rFonts w:asciiTheme="minorHAnsi" w:hAnsiTheme="minorHAnsi"/>
              </w:rPr>
              <w:t>Državni hidrometeorološki zavod</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tcPr>
          <w:p w14:paraId="5D4F1C3B" w14:textId="77777777" w:rsidR="00F84F9A" w:rsidRPr="009F5494" w:rsidRDefault="00F84F9A" w:rsidP="001362A5">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F5494">
              <w:rPr>
                <w:rFonts w:asciiTheme="minorHAnsi" w:hAnsiTheme="minorHAnsi"/>
              </w:rPr>
              <w:t>1</w:t>
            </w:r>
          </w:p>
        </w:tc>
      </w:tr>
      <w:tr w:rsidR="00F84F9A" w:rsidRPr="00AE139D" w14:paraId="756F1B1A" w14:textId="77777777" w:rsidTr="00E016E7">
        <w:trPr>
          <w:trHeight w:val="300"/>
          <w:jc w:val="center"/>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39F34D7F" w14:textId="7B7492D4" w:rsidR="00F84F9A" w:rsidRPr="009F5494" w:rsidRDefault="00EC70B8" w:rsidP="00EC70B8">
            <w:pPr>
              <w:contextualSpacing/>
              <w:jc w:val="center"/>
              <w:rPr>
                <w:rFonts w:asciiTheme="minorHAnsi" w:hAnsiTheme="minorHAnsi"/>
              </w:rPr>
            </w:pPr>
            <w:r w:rsidRPr="009F5494">
              <w:rPr>
                <w:rFonts w:asciiTheme="minorHAnsi" w:hAnsiTheme="minorHAnsi"/>
              </w:rPr>
              <w:t>40</w:t>
            </w:r>
            <w:r w:rsidR="00F84F9A" w:rsidRPr="009F5494">
              <w:rPr>
                <w:rFonts w:asciiTheme="minorHAnsi" w:hAnsiTheme="minorHAnsi"/>
              </w:rPr>
              <w:t>.</w:t>
            </w:r>
          </w:p>
        </w:tc>
        <w:tc>
          <w:tcPr>
            <w:tcW w:w="609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45F0E1DE" w14:textId="77777777" w:rsidR="00F84F9A" w:rsidRPr="009F5494" w:rsidRDefault="00F84F9A" w:rsidP="001362A5">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F5494">
              <w:rPr>
                <w:rFonts w:asciiTheme="minorHAnsi" w:hAnsiTheme="minorHAnsi"/>
              </w:rPr>
              <w:t>Državna uprava za zaštitu i spašavanje</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4515EE98" w14:textId="77777777" w:rsidR="00F84F9A" w:rsidRPr="009F5494" w:rsidRDefault="00F84F9A" w:rsidP="001362A5">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F5494">
              <w:rPr>
                <w:rFonts w:asciiTheme="minorHAnsi" w:hAnsiTheme="minorHAnsi"/>
              </w:rPr>
              <w:t>1</w:t>
            </w:r>
          </w:p>
        </w:tc>
      </w:tr>
      <w:tr w:rsidR="00F84F9A" w:rsidRPr="00AE139D" w14:paraId="699A98DE" w14:textId="77777777" w:rsidTr="00E016E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tcPr>
          <w:p w14:paraId="426FA523" w14:textId="4231C9C0" w:rsidR="00F84F9A" w:rsidRPr="009F5494" w:rsidRDefault="00EC70B8" w:rsidP="00EC70B8">
            <w:pPr>
              <w:contextualSpacing/>
              <w:jc w:val="center"/>
              <w:rPr>
                <w:rFonts w:asciiTheme="minorHAnsi" w:hAnsiTheme="minorHAnsi"/>
              </w:rPr>
            </w:pPr>
            <w:r w:rsidRPr="009F5494">
              <w:rPr>
                <w:rFonts w:asciiTheme="minorHAnsi" w:hAnsiTheme="minorHAnsi"/>
              </w:rPr>
              <w:t>41</w:t>
            </w:r>
            <w:r w:rsidR="00F84F9A" w:rsidRPr="009F5494">
              <w:rPr>
                <w:rFonts w:asciiTheme="minorHAnsi" w:hAnsiTheme="minorHAnsi"/>
              </w:rPr>
              <w:t>.</w:t>
            </w:r>
          </w:p>
        </w:tc>
        <w:tc>
          <w:tcPr>
            <w:tcW w:w="609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tcPr>
          <w:p w14:paraId="501F10BF" w14:textId="77777777" w:rsidR="00F84F9A" w:rsidRPr="009F5494" w:rsidRDefault="00F84F9A" w:rsidP="001362A5">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F5494">
              <w:rPr>
                <w:rFonts w:asciiTheme="minorHAnsi" w:hAnsiTheme="minorHAnsi"/>
              </w:rPr>
              <w:t>Agencija za pravni promet i posredovanje nekretninama</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tcPr>
          <w:p w14:paraId="52D251D7" w14:textId="77777777" w:rsidR="00F84F9A" w:rsidRPr="009F5494" w:rsidRDefault="00F84F9A" w:rsidP="001362A5">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F5494">
              <w:rPr>
                <w:rFonts w:asciiTheme="minorHAnsi" w:hAnsiTheme="minorHAnsi"/>
              </w:rPr>
              <w:t>1</w:t>
            </w:r>
          </w:p>
        </w:tc>
      </w:tr>
      <w:tr w:rsidR="00F84F9A" w:rsidRPr="00AE139D" w14:paraId="7D2F45CF" w14:textId="77777777" w:rsidTr="00E016E7">
        <w:trPr>
          <w:trHeight w:val="300"/>
          <w:jc w:val="center"/>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6AE76ED6" w14:textId="0B15929C" w:rsidR="00F84F9A" w:rsidRPr="009F5494" w:rsidRDefault="00EC70B8" w:rsidP="00EC70B8">
            <w:pPr>
              <w:contextualSpacing/>
              <w:jc w:val="center"/>
              <w:rPr>
                <w:rFonts w:asciiTheme="minorHAnsi" w:hAnsiTheme="minorHAnsi"/>
              </w:rPr>
            </w:pPr>
            <w:r w:rsidRPr="009F5494">
              <w:rPr>
                <w:rFonts w:asciiTheme="minorHAnsi" w:hAnsiTheme="minorHAnsi"/>
              </w:rPr>
              <w:t>42</w:t>
            </w:r>
            <w:r w:rsidR="00F84F9A" w:rsidRPr="009F5494">
              <w:rPr>
                <w:rFonts w:asciiTheme="minorHAnsi" w:hAnsiTheme="minorHAnsi"/>
              </w:rPr>
              <w:t>.</w:t>
            </w:r>
          </w:p>
        </w:tc>
        <w:tc>
          <w:tcPr>
            <w:tcW w:w="609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4B94010D" w14:textId="77777777" w:rsidR="00F84F9A" w:rsidRPr="009F5494" w:rsidRDefault="00F84F9A" w:rsidP="001362A5">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F5494">
              <w:rPr>
                <w:rFonts w:asciiTheme="minorHAnsi" w:hAnsiTheme="minorHAnsi"/>
              </w:rPr>
              <w:t>Hrvatski zavod za javno zdravstvo</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07F92C90" w14:textId="77777777" w:rsidR="00F84F9A" w:rsidRPr="009F5494" w:rsidRDefault="00F84F9A" w:rsidP="001362A5">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F5494">
              <w:rPr>
                <w:rFonts w:asciiTheme="minorHAnsi" w:hAnsiTheme="minorHAnsi"/>
              </w:rPr>
              <w:t>1</w:t>
            </w:r>
          </w:p>
        </w:tc>
      </w:tr>
      <w:tr w:rsidR="00F84F9A" w:rsidRPr="00AE139D" w14:paraId="47AE0D77" w14:textId="77777777" w:rsidTr="00E016E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tcPr>
          <w:p w14:paraId="19960A91" w14:textId="55A62591" w:rsidR="00F84F9A" w:rsidRPr="009F5494" w:rsidRDefault="00EC70B8" w:rsidP="00EC70B8">
            <w:pPr>
              <w:contextualSpacing/>
              <w:jc w:val="center"/>
              <w:rPr>
                <w:rFonts w:asciiTheme="minorHAnsi" w:hAnsiTheme="minorHAnsi"/>
              </w:rPr>
            </w:pPr>
            <w:r w:rsidRPr="009F5494">
              <w:rPr>
                <w:rFonts w:asciiTheme="minorHAnsi" w:hAnsiTheme="minorHAnsi"/>
              </w:rPr>
              <w:t>43</w:t>
            </w:r>
            <w:r w:rsidR="00F84F9A" w:rsidRPr="009F5494">
              <w:rPr>
                <w:rFonts w:asciiTheme="minorHAnsi" w:hAnsiTheme="minorHAnsi"/>
              </w:rPr>
              <w:t>.</w:t>
            </w:r>
          </w:p>
        </w:tc>
        <w:tc>
          <w:tcPr>
            <w:tcW w:w="609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tcPr>
          <w:p w14:paraId="2C20139A" w14:textId="77777777" w:rsidR="00F84F9A" w:rsidRPr="009F5494" w:rsidRDefault="00F84F9A" w:rsidP="001362A5">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F5494">
              <w:rPr>
                <w:rFonts w:asciiTheme="minorHAnsi" w:hAnsiTheme="minorHAnsi"/>
              </w:rPr>
              <w:t>Hrvatska liječnička komora</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tcPr>
          <w:p w14:paraId="659CB3E4" w14:textId="77777777" w:rsidR="00F84F9A" w:rsidRPr="009F5494" w:rsidRDefault="00F84F9A" w:rsidP="001362A5">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F5494">
              <w:rPr>
                <w:rFonts w:asciiTheme="minorHAnsi" w:hAnsiTheme="minorHAnsi"/>
              </w:rPr>
              <w:t>1</w:t>
            </w:r>
          </w:p>
        </w:tc>
      </w:tr>
      <w:tr w:rsidR="00F84F9A" w:rsidRPr="00AE139D" w14:paraId="1E14B31B" w14:textId="77777777" w:rsidTr="00E016E7">
        <w:trPr>
          <w:trHeight w:val="300"/>
          <w:jc w:val="center"/>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7B476DB0" w14:textId="61FBFCAC" w:rsidR="00F84F9A" w:rsidRPr="009F5494" w:rsidRDefault="00EC70B8" w:rsidP="00EC70B8">
            <w:pPr>
              <w:contextualSpacing/>
              <w:jc w:val="center"/>
              <w:rPr>
                <w:rFonts w:asciiTheme="minorHAnsi" w:hAnsiTheme="minorHAnsi"/>
              </w:rPr>
            </w:pPr>
            <w:r w:rsidRPr="009F5494">
              <w:rPr>
                <w:rFonts w:asciiTheme="minorHAnsi" w:hAnsiTheme="minorHAnsi"/>
              </w:rPr>
              <w:t>44</w:t>
            </w:r>
            <w:r w:rsidR="00F84F9A" w:rsidRPr="009F5494">
              <w:rPr>
                <w:rFonts w:asciiTheme="minorHAnsi" w:hAnsiTheme="minorHAnsi"/>
              </w:rPr>
              <w:t>.</w:t>
            </w:r>
          </w:p>
        </w:tc>
        <w:tc>
          <w:tcPr>
            <w:tcW w:w="609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7E47E282" w14:textId="77777777" w:rsidR="00F84F9A" w:rsidRPr="009F5494" w:rsidRDefault="00F84F9A" w:rsidP="001362A5">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F5494">
              <w:rPr>
                <w:rFonts w:asciiTheme="minorHAnsi" w:hAnsiTheme="minorHAnsi"/>
              </w:rPr>
              <w:t>Zaklada “Kultura nova"</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26C992E2" w14:textId="77777777" w:rsidR="00F84F9A" w:rsidRPr="009F5494" w:rsidRDefault="00F84F9A" w:rsidP="001362A5">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F5494">
              <w:rPr>
                <w:rFonts w:asciiTheme="minorHAnsi" w:hAnsiTheme="minorHAnsi"/>
              </w:rPr>
              <w:t>1</w:t>
            </w:r>
          </w:p>
        </w:tc>
      </w:tr>
      <w:tr w:rsidR="005E366D" w:rsidRPr="00AE139D" w14:paraId="25E65CE6" w14:textId="77777777" w:rsidTr="00E016E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083"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62E9C1B5" w14:textId="77777777" w:rsidR="005E366D" w:rsidRPr="009F5494" w:rsidRDefault="005E366D" w:rsidP="001362A5">
            <w:pPr>
              <w:contextualSpacing/>
              <w:jc w:val="right"/>
              <w:rPr>
                <w:rFonts w:asciiTheme="minorHAnsi" w:hAnsiTheme="minorHAnsi"/>
              </w:rPr>
            </w:pPr>
            <w:r w:rsidRPr="009F5494">
              <w:rPr>
                <w:rFonts w:asciiTheme="minorHAnsi" w:hAnsiTheme="minorHAnsi"/>
              </w:rPr>
              <w:t>UKUPNO:</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3CB925A7" w14:textId="77777777" w:rsidR="005E366D" w:rsidRPr="009F5494" w:rsidRDefault="00F242FE" w:rsidP="001362A5">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9F5494">
              <w:rPr>
                <w:rFonts w:asciiTheme="minorHAnsi" w:hAnsiTheme="minorHAnsi"/>
                <w:b/>
              </w:rPr>
              <w:t>1.033</w:t>
            </w:r>
          </w:p>
        </w:tc>
      </w:tr>
    </w:tbl>
    <w:p w14:paraId="1186A63E" w14:textId="77777777" w:rsidR="004727BD" w:rsidRDefault="004727BD">
      <w:pPr>
        <w:rPr>
          <w:rFonts w:ascii="Cambria" w:hAnsi="Cambria"/>
          <w:sz w:val="24"/>
          <w:szCs w:val="24"/>
        </w:rPr>
      </w:pPr>
    </w:p>
    <w:p w14:paraId="75A46552" w14:textId="5149D7B2" w:rsidR="001362A5" w:rsidRDefault="001362A5">
      <w:pPr>
        <w:rPr>
          <w:rFonts w:ascii="Cambria" w:hAnsi="Cambria"/>
          <w:sz w:val="24"/>
          <w:szCs w:val="24"/>
        </w:rPr>
      </w:pPr>
      <w:r w:rsidRPr="001362A5">
        <w:rPr>
          <w:rFonts w:ascii="Cambria" w:hAnsi="Cambria"/>
          <w:sz w:val="24"/>
          <w:szCs w:val="24"/>
        </w:rPr>
        <w:t>U 201</w:t>
      </w:r>
      <w:r>
        <w:rPr>
          <w:rFonts w:ascii="Cambria" w:hAnsi="Cambria"/>
          <w:sz w:val="24"/>
          <w:szCs w:val="24"/>
        </w:rPr>
        <w:t>8</w:t>
      </w:r>
      <w:r w:rsidRPr="001362A5">
        <w:rPr>
          <w:rFonts w:ascii="Cambria" w:hAnsi="Cambria"/>
          <w:sz w:val="24"/>
          <w:szCs w:val="24"/>
        </w:rPr>
        <w:t xml:space="preserve">. </w:t>
      </w:r>
      <w:r w:rsidR="00E016E7">
        <w:rPr>
          <w:rFonts w:ascii="Cambria" w:hAnsi="Cambria"/>
          <w:sz w:val="24"/>
          <w:szCs w:val="24"/>
        </w:rPr>
        <w:t xml:space="preserve">tijela su imala </w:t>
      </w:r>
      <w:r w:rsidRPr="001362A5">
        <w:rPr>
          <w:rFonts w:ascii="Cambria" w:hAnsi="Cambria"/>
          <w:sz w:val="24"/>
          <w:szCs w:val="24"/>
        </w:rPr>
        <w:t>prosječn</w:t>
      </w:r>
      <w:r w:rsidR="00E016E7">
        <w:rPr>
          <w:rFonts w:ascii="Cambria" w:hAnsi="Cambria"/>
          <w:sz w:val="24"/>
          <w:szCs w:val="24"/>
        </w:rPr>
        <w:t>o</w:t>
      </w:r>
      <w:r w:rsidRPr="001362A5">
        <w:rPr>
          <w:rFonts w:ascii="Cambria" w:hAnsi="Cambria"/>
          <w:sz w:val="24"/>
          <w:szCs w:val="24"/>
        </w:rPr>
        <w:t xml:space="preserve"> </w:t>
      </w:r>
      <w:r w:rsidR="00E016E7">
        <w:rPr>
          <w:rFonts w:ascii="Cambria" w:hAnsi="Cambria"/>
          <w:sz w:val="24"/>
          <w:szCs w:val="24"/>
        </w:rPr>
        <w:t xml:space="preserve">23 </w:t>
      </w:r>
      <w:r w:rsidR="007965B4">
        <w:rPr>
          <w:rFonts w:ascii="Cambria" w:hAnsi="Cambria"/>
          <w:sz w:val="24"/>
          <w:szCs w:val="24"/>
        </w:rPr>
        <w:t>savjetovanja</w:t>
      </w:r>
      <w:r w:rsidRPr="001362A5">
        <w:rPr>
          <w:rFonts w:ascii="Cambria" w:hAnsi="Cambria"/>
          <w:sz w:val="24"/>
          <w:szCs w:val="24"/>
        </w:rPr>
        <w:t>.</w:t>
      </w:r>
      <w:r w:rsidR="00E016E7">
        <w:rPr>
          <w:rFonts w:ascii="Cambria" w:hAnsi="Cambria"/>
          <w:sz w:val="24"/>
          <w:szCs w:val="24"/>
        </w:rPr>
        <w:t xml:space="preserve"> </w:t>
      </w:r>
    </w:p>
    <w:p w14:paraId="3ED001F6" w14:textId="77777777" w:rsidR="001362A5" w:rsidRPr="00892C4B" w:rsidRDefault="001362A5">
      <w:pPr>
        <w:rPr>
          <w:rFonts w:ascii="Cambria" w:hAnsi="Cambria"/>
        </w:rPr>
      </w:pPr>
    </w:p>
    <w:p w14:paraId="4CE807EB" w14:textId="77777777" w:rsidR="001362A5" w:rsidRPr="00892C4B" w:rsidRDefault="001362A5" w:rsidP="001362A5">
      <w:pPr>
        <w:rPr>
          <w:rFonts w:ascii="Cambria" w:hAnsi="Cambria"/>
          <w:b/>
        </w:rPr>
      </w:pPr>
      <w:r w:rsidRPr="00892C4B">
        <w:rPr>
          <w:rFonts w:ascii="Cambria" w:hAnsi="Cambria"/>
          <w:b/>
          <w:i/>
        </w:rPr>
        <w:t>Grafički prikaz 2.</w:t>
      </w:r>
      <w:r w:rsidRPr="00892C4B">
        <w:rPr>
          <w:rFonts w:ascii="Cambria" w:hAnsi="Cambria"/>
          <w:b/>
        </w:rPr>
        <w:t xml:space="preserve">: Vrste propisa </w:t>
      </w:r>
    </w:p>
    <w:p w14:paraId="7C849C22" w14:textId="77777777" w:rsidR="006625FB" w:rsidRPr="001362A5" w:rsidRDefault="006625FB" w:rsidP="001362A5">
      <w:pPr>
        <w:rPr>
          <w:rFonts w:ascii="Cambria" w:hAnsi="Cambria"/>
          <w:b/>
          <w:sz w:val="24"/>
          <w:szCs w:val="24"/>
        </w:rPr>
      </w:pPr>
      <w:r w:rsidRPr="00131432">
        <w:rPr>
          <w:b/>
          <w:noProof/>
          <w:lang w:eastAsia="hr-HR"/>
        </w:rPr>
        <w:drawing>
          <wp:inline distT="0" distB="0" distL="0" distR="0" wp14:anchorId="3F33A0F7" wp14:editId="3AB2FDDF">
            <wp:extent cx="5943600" cy="3302206"/>
            <wp:effectExtent l="57150" t="19050" r="57150" b="889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666B56C" w14:textId="77777777" w:rsidR="001362A5" w:rsidRDefault="001362A5">
      <w:pPr>
        <w:rPr>
          <w:rFonts w:ascii="Cambria" w:hAnsi="Cambria"/>
          <w:sz w:val="24"/>
          <w:szCs w:val="24"/>
        </w:rPr>
      </w:pPr>
    </w:p>
    <w:p w14:paraId="2D4AA775" w14:textId="00B0CB90" w:rsidR="001362A5" w:rsidRPr="00A12A33" w:rsidRDefault="001362A5" w:rsidP="00A12A33">
      <w:pPr>
        <w:spacing w:line="256" w:lineRule="auto"/>
        <w:jc w:val="both"/>
        <w:rPr>
          <w:rFonts w:ascii="Cambria" w:eastAsia="Calibri" w:hAnsi="Cambria" w:cs="Calibri"/>
          <w:sz w:val="24"/>
          <w:szCs w:val="24"/>
        </w:rPr>
      </w:pPr>
      <w:r w:rsidRPr="00F95B40">
        <w:rPr>
          <w:rFonts w:ascii="Cambria" w:eastAsia="Calibri" w:hAnsi="Cambria" w:cs="Calibri"/>
          <w:sz w:val="24"/>
          <w:szCs w:val="24"/>
        </w:rPr>
        <w:t>U 201</w:t>
      </w:r>
      <w:r>
        <w:rPr>
          <w:rFonts w:ascii="Cambria" w:eastAsia="Calibri" w:hAnsi="Cambria" w:cs="Calibri"/>
          <w:sz w:val="24"/>
          <w:szCs w:val="24"/>
        </w:rPr>
        <w:t>8</w:t>
      </w:r>
      <w:r w:rsidRPr="00F95B40">
        <w:rPr>
          <w:rFonts w:ascii="Cambria" w:eastAsia="Calibri" w:hAnsi="Cambria" w:cs="Calibri"/>
          <w:sz w:val="24"/>
          <w:szCs w:val="24"/>
        </w:rPr>
        <w:t>. od ukupnog broja provedenih savjetovanja njih 3</w:t>
      </w:r>
      <w:r>
        <w:rPr>
          <w:rFonts w:ascii="Cambria" w:eastAsia="Calibri" w:hAnsi="Cambria" w:cs="Calibri"/>
          <w:sz w:val="24"/>
          <w:szCs w:val="24"/>
        </w:rPr>
        <w:t>86</w:t>
      </w:r>
      <w:r w:rsidRPr="00F95B40">
        <w:rPr>
          <w:rFonts w:ascii="Cambria" w:eastAsia="Calibri" w:hAnsi="Cambria" w:cs="Calibri"/>
          <w:sz w:val="24"/>
          <w:szCs w:val="24"/>
        </w:rPr>
        <w:t xml:space="preserve"> se odnosilo na pravilnike, </w:t>
      </w:r>
      <w:r>
        <w:rPr>
          <w:rFonts w:ascii="Cambria" w:eastAsia="Calibri" w:hAnsi="Cambria" w:cs="Calibri"/>
          <w:sz w:val="24"/>
          <w:szCs w:val="24"/>
        </w:rPr>
        <w:t>2</w:t>
      </w:r>
      <w:r w:rsidRPr="00F95B40">
        <w:rPr>
          <w:rFonts w:ascii="Cambria" w:eastAsia="Calibri" w:hAnsi="Cambria" w:cs="Calibri"/>
          <w:sz w:val="24"/>
          <w:szCs w:val="24"/>
        </w:rPr>
        <w:t xml:space="preserve">28 na zakonske akte, </w:t>
      </w:r>
      <w:r>
        <w:rPr>
          <w:rFonts w:ascii="Cambria" w:eastAsia="Calibri" w:hAnsi="Cambria" w:cs="Calibri"/>
          <w:sz w:val="24"/>
          <w:szCs w:val="24"/>
        </w:rPr>
        <w:t>178</w:t>
      </w:r>
      <w:r w:rsidRPr="00F95B40">
        <w:rPr>
          <w:rFonts w:ascii="Cambria" w:eastAsia="Calibri" w:hAnsi="Cambria" w:cs="Calibri"/>
          <w:sz w:val="24"/>
          <w:szCs w:val="24"/>
        </w:rPr>
        <w:t xml:space="preserve"> na akte u vezi s procjenom učinaka propisa (prethodne procjene, </w:t>
      </w:r>
      <w:r w:rsidRPr="00F95B40">
        <w:rPr>
          <w:rFonts w:ascii="Cambria" w:eastAsia="Calibri" w:hAnsi="Cambria" w:cs="Calibri"/>
          <w:sz w:val="24"/>
          <w:szCs w:val="24"/>
        </w:rPr>
        <w:lastRenderedPageBreak/>
        <w:t>iskaz</w:t>
      </w:r>
      <w:r>
        <w:rPr>
          <w:rFonts w:ascii="Cambria" w:eastAsia="Calibri" w:hAnsi="Cambria" w:cs="Calibri"/>
          <w:sz w:val="24"/>
          <w:szCs w:val="24"/>
        </w:rPr>
        <w:t>i</w:t>
      </w:r>
      <w:r w:rsidR="00DE7194">
        <w:rPr>
          <w:rFonts w:ascii="Cambria" w:eastAsia="Calibri" w:hAnsi="Cambria" w:cs="Calibri"/>
          <w:sz w:val="24"/>
          <w:szCs w:val="24"/>
        </w:rPr>
        <w:t xml:space="preserve">, </w:t>
      </w:r>
      <w:r w:rsidRPr="00F95B40">
        <w:rPr>
          <w:rFonts w:ascii="Cambria" w:eastAsia="Calibri" w:hAnsi="Cambria" w:cs="Calibri"/>
          <w:sz w:val="24"/>
          <w:szCs w:val="24"/>
        </w:rPr>
        <w:t>planov</w:t>
      </w:r>
      <w:r w:rsidR="00E650B4">
        <w:rPr>
          <w:rFonts w:ascii="Cambria" w:eastAsia="Calibri" w:hAnsi="Cambria" w:cs="Calibri"/>
          <w:sz w:val="24"/>
          <w:szCs w:val="24"/>
        </w:rPr>
        <w:t>i</w:t>
      </w:r>
      <w:r w:rsidRPr="00F95B40">
        <w:rPr>
          <w:rFonts w:ascii="Cambria" w:eastAsia="Calibri" w:hAnsi="Cambria" w:cs="Calibri"/>
          <w:sz w:val="24"/>
          <w:szCs w:val="24"/>
        </w:rPr>
        <w:t xml:space="preserve"> </w:t>
      </w:r>
      <w:r w:rsidR="00E650B4">
        <w:rPr>
          <w:rFonts w:ascii="Cambria" w:eastAsia="Calibri" w:hAnsi="Cambria" w:cs="Calibri"/>
          <w:sz w:val="24"/>
          <w:szCs w:val="24"/>
        </w:rPr>
        <w:t>zakonodavnih</w:t>
      </w:r>
      <w:r w:rsidRPr="00F95B40">
        <w:rPr>
          <w:rFonts w:ascii="Cambria" w:eastAsia="Calibri" w:hAnsi="Cambria" w:cs="Calibri"/>
          <w:sz w:val="24"/>
          <w:szCs w:val="24"/>
        </w:rPr>
        <w:t xml:space="preserve"> aktivnosti</w:t>
      </w:r>
      <w:r w:rsidR="00DE7194">
        <w:rPr>
          <w:rFonts w:ascii="Cambria" w:eastAsia="Calibri" w:hAnsi="Cambria" w:cs="Calibri"/>
          <w:sz w:val="24"/>
          <w:szCs w:val="24"/>
        </w:rPr>
        <w:t xml:space="preserve"> te naknadne procjene učinaka propisa</w:t>
      </w:r>
      <w:r w:rsidRPr="00F95B40">
        <w:rPr>
          <w:rFonts w:ascii="Cambria" w:eastAsia="Calibri" w:hAnsi="Cambria" w:cs="Calibri"/>
          <w:sz w:val="24"/>
          <w:szCs w:val="24"/>
        </w:rPr>
        <w:t>)</w:t>
      </w:r>
      <w:r w:rsidR="00E650B4">
        <w:rPr>
          <w:rFonts w:ascii="Cambria" w:eastAsia="Calibri" w:hAnsi="Cambria" w:cs="Calibri"/>
          <w:sz w:val="24"/>
          <w:szCs w:val="24"/>
        </w:rPr>
        <w:t>, a 161</w:t>
      </w:r>
      <w:r w:rsidRPr="001362A5">
        <w:rPr>
          <w:rFonts w:ascii="Cambria" w:eastAsia="Calibri" w:hAnsi="Cambria" w:cs="Calibri"/>
          <w:sz w:val="24"/>
          <w:szCs w:val="24"/>
        </w:rPr>
        <w:t xml:space="preserve"> na ostale vrste akata (odluke, upute z</w:t>
      </w:r>
      <w:r w:rsidR="003D0115">
        <w:rPr>
          <w:rFonts w:ascii="Cambria" w:eastAsia="Calibri" w:hAnsi="Cambria" w:cs="Calibri"/>
          <w:sz w:val="24"/>
          <w:szCs w:val="24"/>
        </w:rPr>
        <w:t>a prijavitelje, smjernice itd.)</w:t>
      </w:r>
      <w:r w:rsidRPr="00F95B40">
        <w:rPr>
          <w:rFonts w:ascii="Cambria" w:eastAsia="Calibri" w:hAnsi="Cambria" w:cs="Calibri"/>
          <w:sz w:val="24"/>
          <w:szCs w:val="24"/>
        </w:rPr>
        <w:t xml:space="preserve">. Provedena su i savjetovanja za </w:t>
      </w:r>
      <w:r w:rsidR="00E650B4">
        <w:rPr>
          <w:rFonts w:ascii="Cambria" w:eastAsia="Calibri" w:hAnsi="Cambria" w:cs="Calibri"/>
          <w:sz w:val="24"/>
          <w:szCs w:val="24"/>
        </w:rPr>
        <w:t>54</w:t>
      </w:r>
      <w:r w:rsidRPr="00F95B40">
        <w:rPr>
          <w:rFonts w:ascii="Cambria" w:eastAsia="Calibri" w:hAnsi="Cambria" w:cs="Calibri"/>
          <w:sz w:val="24"/>
          <w:szCs w:val="24"/>
        </w:rPr>
        <w:t xml:space="preserve"> uredb</w:t>
      </w:r>
      <w:r w:rsidR="00E650B4">
        <w:rPr>
          <w:rFonts w:ascii="Cambria" w:eastAsia="Calibri" w:hAnsi="Cambria" w:cs="Calibri"/>
          <w:sz w:val="24"/>
          <w:szCs w:val="24"/>
        </w:rPr>
        <w:t>e</w:t>
      </w:r>
      <w:r w:rsidRPr="00F95B40">
        <w:rPr>
          <w:rFonts w:ascii="Cambria" w:eastAsia="Calibri" w:hAnsi="Cambria" w:cs="Calibri"/>
          <w:sz w:val="24"/>
          <w:szCs w:val="24"/>
        </w:rPr>
        <w:t xml:space="preserve"> i </w:t>
      </w:r>
      <w:r w:rsidR="00E650B4">
        <w:rPr>
          <w:rFonts w:ascii="Cambria" w:eastAsia="Calibri" w:hAnsi="Cambria" w:cs="Calibri"/>
          <w:sz w:val="24"/>
          <w:szCs w:val="24"/>
        </w:rPr>
        <w:t>26</w:t>
      </w:r>
      <w:r w:rsidRPr="00F95B40">
        <w:rPr>
          <w:rFonts w:ascii="Cambria" w:eastAsia="Calibri" w:hAnsi="Cambria" w:cs="Calibri"/>
          <w:sz w:val="24"/>
          <w:szCs w:val="24"/>
        </w:rPr>
        <w:t xml:space="preserve"> stratešk</w:t>
      </w:r>
      <w:r>
        <w:rPr>
          <w:rFonts w:ascii="Cambria" w:eastAsia="Calibri" w:hAnsi="Cambria" w:cs="Calibri"/>
          <w:sz w:val="24"/>
          <w:szCs w:val="24"/>
        </w:rPr>
        <w:t>ih</w:t>
      </w:r>
      <w:r w:rsidRPr="00F95B40">
        <w:rPr>
          <w:rFonts w:ascii="Cambria" w:eastAsia="Calibri" w:hAnsi="Cambria" w:cs="Calibri"/>
          <w:sz w:val="24"/>
          <w:szCs w:val="24"/>
        </w:rPr>
        <w:t xml:space="preserve"> dokumenata.</w:t>
      </w:r>
    </w:p>
    <w:p w14:paraId="3CD7234E" w14:textId="77777777" w:rsidR="008028F8" w:rsidRDefault="008028F8" w:rsidP="00E016E7">
      <w:pPr>
        <w:pStyle w:val="Heading2"/>
        <w:spacing w:after="120"/>
      </w:pPr>
      <w:bookmarkStart w:id="12" w:name="_Toc4076871"/>
      <w:r w:rsidRPr="00AB758C">
        <w:t>4.2.</w:t>
      </w:r>
      <w:r w:rsidR="00650040" w:rsidRPr="00AB758C">
        <w:t xml:space="preserve"> Sastav radnih skupina</w:t>
      </w:r>
      <w:bookmarkEnd w:id="12"/>
    </w:p>
    <w:p w14:paraId="2472484C" w14:textId="1C6A135A" w:rsidR="00A12A33" w:rsidRPr="00AE139D" w:rsidRDefault="00A12A33" w:rsidP="0001234B">
      <w:pPr>
        <w:spacing w:line="256" w:lineRule="auto"/>
        <w:jc w:val="both"/>
        <w:rPr>
          <w:rFonts w:ascii="Cambria" w:eastAsia="Calibri" w:hAnsi="Cambria" w:cs="Calibri"/>
          <w:sz w:val="24"/>
          <w:szCs w:val="24"/>
        </w:rPr>
      </w:pPr>
      <w:r w:rsidRPr="00AE139D">
        <w:rPr>
          <w:rFonts w:ascii="Cambria" w:eastAsia="Calibri" w:hAnsi="Cambria" w:cs="Calibri"/>
          <w:sz w:val="24"/>
          <w:szCs w:val="24"/>
        </w:rPr>
        <w:t>U svrhu što veće transparentnosti postupka donošenja odluka te jačanja povjerenja građana</w:t>
      </w:r>
      <w:r>
        <w:rPr>
          <w:rFonts w:ascii="Cambria" w:eastAsia="Calibri" w:hAnsi="Cambria" w:cs="Calibri"/>
          <w:sz w:val="24"/>
          <w:szCs w:val="24"/>
        </w:rPr>
        <w:t>,</w:t>
      </w:r>
      <w:r w:rsidRPr="00AE139D">
        <w:rPr>
          <w:rFonts w:ascii="Cambria" w:eastAsia="Calibri" w:hAnsi="Cambria" w:cs="Calibri"/>
          <w:sz w:val="24"/>
          <w:szCs w:val="24"/>
        </w:rPr>
        <w:t xml:space="preserve"> važno je objavljivati sastave radnih skupina i povjerenstava za izradu zakona, drugih propisa i akata, kako bi javnost imala sve relevantne informacije u vezi s izradom određenog akta. </w:t>
      </w:r>
      <w:r w:rsidRPr="00EA5270">
        <w:rPr>
          <w:rFonts w:ascii="Cambria" w:eastAsia="Calibri" w:hAnsi="Cambria" w:cs="Calibri"/>
          <w:sz w:val="24"/>
          <w:szCs w:val="24"/>
        </w:rPr>
        <w:t xml:space="preserve">Akcijskim planom za provedbu inicijative Partnerstvo za otvorenu vlast u Republici Hrvatskoj za razdoblje 2014. – 2016., u sklopu aktivnosti 11.4., predviđeno je objavljivanje sastava radnih skupina i povjerenstava za izradu zakona, drugih propisa i akata na Središnjem državnom portalu. Sukladno navedenoj aktivnosti, u sklopu portala, na stranici </w:t>
      </w:r>
      <w:r w:rsidRPr="00EA5270">
        <w:rPr>
          <w:rFonts w:ascii="Cambria" w:eastAsia="Calibri" w:hAnsi="Cambria" w:cs="Calibri"/>
          <w:i/>
          <w:sz w:val="24"/>
          <w:szCs w:val="24"/>
        </w:rPr>
        <w:t>savjetovanja.gov.hr</w:t>
      </w:r>
      <w:r w:rsidRPr="00EA5270">
        <w:rPr>
          <w:rFonts w:ascii="Cambria" w:eastAsia="Calibri" w:hAnsi="Cambria" w:cs="Calibri"/>
          <w:sz w:val="24"/>
          <w:szCs w:val="24"/>
        </w:rPr>
        <w:t xml:space="preserve"> nalazi se </w:t>
      </w:r>
      <w:proofErr w:type="spellStart"/>
      <w:r w:rsidRPr="00EA5270">
        <w:rPr>
          <w:rFonts w:ascii="Cambria" w:eastAsia="Calibri" w:hAnsi="Cambria" w:cs="Calibri"/>
          <w:sz w:val="24"/>
          <w:szCs w:val="24"/>
        </w:rPr>
        <w:t>podstranica</w:t>
      </w:r>
      <w:proofErr w:type="spellEnd"/>
      <w:r w:rsidRPr="00EA5270">
        <w:rPr>
          <w:rFonts w:ascii="Cambria" w:eastAsia="Calibri" w:hAnsi="Cambria" w:cs="Calibri"/>
          <w:sz w:val="24"/>
          <w:szCs w:val="24"/>
        </w:rPr>
        <w:t xml:space="preserve"> „Baza savjetodavnih tijela“ putem koje je moguće pretraživati stalna i povremena (</w:t>
      </w:r>
      <w:r w:rsidRPr="00EA5270">
        <w:rPr>
          <w:rFonts w:ascii="Cambria" w:eastAsia="Calibri" w:hAnsi="Cambria" w:cs="Calibri"/>
          <w:i/>
          <w:sz w:val="24"/>
          <w:szCs w:val="24"/>
        </w:rPr>
        <w:t xml:space="preserve">ad </w:t>
      </w:r>
      <w:proofErr w:type="spellStart"/>
      <w:r w:rsidRPr="00EA5270">
        <w:rPr>
          <w:rFonts w:ascii="Cambria" w:eastAsia="Calibri" w:hAnsi="Cambria" w:cs="Calibri"/>
          <w:i/>
          <w:sz w:val="24"/>
          <w:szCs w:val="24"/>
        </w:rPr>
        <w:t>hoc</w:t>
      </w:r>
      <w:proofErr w:type="spellEnd"/>
      <w:r w:rsidRPr="00EA5270">
        <w:rPr>
          <w:rFonts w:ascii="Cambria" w:eastAsia="Calibri" w:hAnsi="Cambria" w:cs="Calibri"/>
          <w:sz w:val="24"/>
          <w:szCs w:val="24"/>
        </w:rPr>
        <w:t>) radna i savjetodavna tijela državnih tijela.</w:t>
      </w:r>
      <w:r w:rsidRPr="00AE139D">
        <w:rPr>
          <w:rFonts w:ascii="Cambria" w:eastAsia="Calibri" w:hAnsi="Cambria" w:cs="Calibri"/>
          <w:sz w:val="24"/>
          <w:szCs w:val="24"/>
        </w:rPr>
        <w:t xml:space="preserve"> Podatke je moguće pretraživati prema državnom tijelu, vrsti savjetodavnog tijela, imenu i prezimenu člana te prema instituciji/organizaciji iz koje dolazi.</w:t>
      </w:r>
      <w:r w:rsidR="00A1351C">
        <w:rPr>
          <w:rFonts w:ascii="Cambria" w:eastAsia="Calibri" w:hAnsi="Cambria" w:cs="Calibri"/>
          <w:sz w:val="24"/>
          <w:szCs w:val="24"/>
        </w:rPr>
        <w:t xml:space="preserve"> </w:t>
      </w:r>
      <w:r w:rsidR="00A1351C" w:rsidRPr="00A1351C">
        <w:rPr>
          <w:rFonts w:ascii="Cambria" w:eastAsia="Calibri" w:hAnsi="Cambria" w:cs="Calibri"/>
          <w:sz w:val="24"/>
          <w:szCs w:val="24"/>
        </w:rPr>
        <w:t>Akcijsk</w:t>
      </w:r>
      <w:r w:rsidR="0001234B">
        <w:rPr>
          <w:rFonts w:ascii="Cambria" w:eastAsia="Calibri" w:hAnsi="Cambria" w:cs="Calibri"/>
          <w:sz w:val="24"/>
          <w:szCs w:val="24"/>
        </w:rPr>
        <w:t>im</w:t>
      </w:r>
      <w:r w:rsidR="00A1351C" w:rsidRPr="00A1351C">
        <w:rPr>
          <w:rFonts w:ascii="Cambria" w:eastAsia="Calibri" w:hAnsi="Cambria" w:cs="Calibri"/>
          <w:sz w:val="24"/>
          <w:szCs w:val="24"/>
        </w:rPr>
        <w:t xml:space="preserve"> plan</w:t>
      </w:r>
      <w:r w:rsidR="0001234B">
        <w:rPr>
          <w:rFonts w:ascii="Cambria" w:eastAsia="Calibri" w:hAnsi="Cambria" w:cs="Calibri"/>
          <w:sz w:val="24"/>
          <w:szCs w:val="24"/>
        </w:rPr>
        <w:t>om</w:t>
      </w:r>
      <w:r w:rsidR="00A1351C" w:rsidRPr="00A1351C">
        <w:rPr>
          <w:rFonts w:ascii="Cambria" w:eastAsia="Calibri" w:hAnsi="Cambria" w:cs="Calibri"/>
          <w:sz w:val="24"/>
          <w:szCs w:val="24"/>
        </w:rPr>
        <w:t xml:space="preserve"> za provedbu inicijative Partnerstvo za otvorenu vlast u Republici Hrvatskoj za razdoblje do 2020.</w:t>
      </w:r>
      <w:r w:rsidR="00E105BF">
        <w:rPr>
          <w:rFonts w:ascii="Cambria" w:eastAsia="Calibri" w:hAnsi="Cambria" w:cs="Calibri"/>
          <w:sz w:val="24"/>
          <w:szCs w:val="24"/>
        </w:rPr>
        <w:t xml:space="preserve"> </w:t>
      </w:r>
      <w:r w:rsidR="00A1351C" w:rsidRPr="00A1351C">
        <w:rPr>
          <w:rFonts w:ascii="Cambria" w:eastAsia="Calibri" w:hAnsi="Cambria" w:cs="Calibri"/>
          <w:sz w:val="24"/>
          <w:szCs w:val="24"/>
        </w:rPr>
        <w:t>godine</w:t>
      </w:r>
      <w:r w:rsidR="0001234B">
        <w:rPr>
          <w:rFonts w:ascii="Cambria" w:eastAsia="Calibri" w:hAnsi="Cambria" w:cs="Calibri"/>
          <w:sz w:val="24"/>
          <w:szCs w:val="24"/>
        </w:rPr>
        <w:t>, također je definirana obveza objave podataka o sastavima radnih skupina (</w:t>
      </w:r>
      <w:r w:rsidR="0001234B" w:rsidRPr="0001234B">
        <w:rPr>
          <w:rFonts w:ascii="Cambria" w:eastAsia="Calibri" w:hAnsi="Cambria" w:cs="Calibri"/>
          <w:i/>
          <w:sz w:val="24"/>
          <w:szCs w:val="24"/>
        </w:rPr>
        <w:t>aktivnost 12.4. Ažuriranje baze podataka o sastavima radnih skupina za izradu nacrta zakona, drugih</w:t>
      </w:r>
      <w:r w:rsidR="00892C4B">
        <w:rPr>
          <w:rFonts w:ascii="Cambria" w:eastAsia="Calibri" w:hAnsi="Cambria" w:cs="Calibri"/>
          <w:i/>
          <w:sz w:val="24"/>
          <w:szCs w:val="24"/>
        </w:rPr>
        <w:t xml:space="preserve"> </w:t>
      </w:r>
      <w:r w:rsidR="0001234B" w:rsidRPr="0001234B">
        <w:rPr>
          <w:rFonts w:ascii="Cambria" w:eastAsia="Calibri" w:hAnsi="Cambria" w:cs="Calibri"/>
          <w:i/>
          <w:sz w:val="24"/>
          <w:szCs w:val="24"/>
        </w:rPr>
        <w:t>propisa i akata te drugih povjerenstava i radnih tijela (uključujući ona u kojima sudjeluju organizacije civilnog društva i ostali predstavnici zainteresirane javnosti) u sklopu savjetovanja.gov.hr</w:t>
      </w:r>
      <w:r w:rsidR="0001234B">
        <w:rPr>
          <w:rFonts w:ascii="Cambria" w:eastAsia="Calibri" w:hAnsi="Cambria" w:cs="Calibri"/>
          <w:sz w:val="24"/>
          <w:szCs w:val="24"/>
        </w:rPr>
        <w:t>).</w:t>
      </w:r>
    </w:p>
    <w:p w14:paraId="3B5C3DD2" w14:textId="77777777" w:rsidR="00892C4B" w:rsidRPr="00892C4B" w:rsidRDefault="009963C7" w:rsidP="00892C4B">
      <w:pPr>
        <w:spacing w:line="256" w:lineRule="auto"/>
        <w:jc w:val="both"/>
        <w:rPr>
          <w:rFonts w:ascii="Cambria" w:eastAsia="Calibri" w:hAnsi="Cambria" w:cs="Calibri"/>
          <w:b/>
        </w:rPr>
      </w:pPr>
      <w:r w:rsidRPr="009963C7">
        <w:rPr>
          <w:rFonts w:ascii="Cambria" w:eastAsia="Calibri" w:hAnsi="Cambria" w:cs="Calibri"/>
          <w:b/>
        </w:rPr>
        <w:lastRenderedPageBreak/>
        <w:t>Grafički prikaz 3.: Sastav radnih skupina</w:t>
      </w:r>
      <w:r w:rsidRPr="00131432">
        <w:rPr>
          <w:rFonts w:asciiTheme="majorHAnsi" w:hAnsiTheme="majorHAnsi" w:cstheme="minorHAnsi"/>
          <w:noProof/>
          <w:sz w:val="24"/>
          <w:szCs w:val="24"/>
          <w:lang w:eastAsia="hr-HR"/>
        </w:rPr>
        <w:drawing>
          <wp:anchor distT="0" distB="0" distL="114300" distR="114300" simplePos="0" relativeHeight="251659264" behindDoc="0" locked="0" layoutInCell="1" allowOverlap="1" wp14:anchorId="7FC21B31" wp14:editId="549A1612">
            <wp:simplePos x="0" y="0"/>
            <wp:positionH relativeFrom="margin">
              <wp:posOffset>0</wp:posOffset>
            </wp:positionH>
            <wp:positionV relativeFrom="paragraph">
              <wp:posOffset>295275</wp:posOffset>
            </wp:positionV>
            <wp:extent cx="6105525" cy="4372610"/>
            <wp:effectExtent l="57150" t="19050" r="47625" b="104140"/>
            <wp:wrapSquare wrapText="bothSides"/>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0970B85C" w14:textId="77777777" w:rsidR="0046680F" w:rsidRDefault="0046680F" w:rsidP="0046680F">
      <w:pPr>
        <w:spacing w:line="256" w:lineRule="auto"/>
        <w:jc w:val="both"/>
        <w:rPr>
          <w:rFonts w:ascii="Cambria" w:eastAsia="Calibri" w:hAnsi="Cambria" w:cs="Calibri"/>
          <w:sz w:val="24"/>
          <w:szCs w:val="24"/>
        </w:rPr>
      </w:pPr>
      <w:r w:rsidRPr="00AE139D">
        <w:rPr>
          <w:rFonts w:ascii="Cambria" w:eastAsia="Calibri" w:hAnsi="Cambria" w:cs="Calibri"/>
          <w:sz w:val="24"/>
          <w:szCs w:val="24"/>
        </w:rPr>
        <w:t xml:space="preserve">Prema podacima koje je prikupio Ured za udruge, radne </w:t>
      </w:r>
      <w:r>
        <w:rPr>
          <w:rFonts w:ascii="Cambria" w:eastAsia="Calibri" w:hAnsi="Cambria" w:cs="Calibri"/>
          <w:sz w:val="24"/>
          <w:szCs w:val="24"/>
        </w:rPr>
        <w:t>skupine za izradu propisa u 2018</w:t>
      </w:r>
      <w:r w:rsidRPr="00AE139D">
        <w:rPr>
          <w:rFonts w:ascii="Cambria" w:eastAsia="Calibri" w:hAnsi="Cambria" w:cs="Calibri"/>
          <w:sz w:val="24"/>
          <w:szCs w:val="24"/>
        </w:rPr>
        <w:t>. godini sastojale su se većim d</w:t>
      </w:r>
      <w:r>
        <w:rPr>
          <w:rFonts w:ascii="Cambria" w:eastAsia="Calibri" w:hAnsi="Cambria" w:cs="Calibri"/>
          <w:sz w:val="24"/>
          <w:szCs w:val="24"/>
        </w:rPr>
        <w:t>ijelom od državnih službenika (2</w:t>
      </w:r>
      <w:r w:rsidRPr="00AE139D">
        <w:rPr>
          <w:rFonts w:ascii="Cambria" w:eastAsia="Calibri" w:hAnsi="Cambria" w:cs="Calibri"/>
          <w:sz w:val="24"/>
          <w:szCs w:val="24"/>
        </w:rPr>
        <w:t>.</w:t>
      </w:r>
      <w:r>
        <w:rPr>
          <w:rFonts w:ascii="Cambria" w:eastAsia="Calibri" w:hAnsi="Cambria" w:cs="Calibri"/>
          <w:sz w:val="24"/>
          <w:szCs w:val="24"/>
        </w:rPr>
        <w:t>811</w:t>
      </w:r>
      <w:r w:rsidRPr="00AE139D">
        <w:rPr>
          <w:rFonts w:ascii="Cambria" w:eastAsia="Calibri" w:hAnsi="Cambria" w:cs="Calibri"/>
          <w:sz w:val="24"/>
          <w:szCs w:val="24"/>
        </w:rPr>
        <w:t>). Pored toga, u radnim skupinama je sudjelovalo 1.</w:t>
      </w:r>
      <w:r>
        <w:rPr>
          <w:rFonts w:ascii="Cambria" w:eastAsia="Calibri" w:hAnsi="Cambria" w:cs="Calibri"/>
          <w:sz w:val="24"/>
          <w:szCs w:val="24"/>
        </w:rPr>
        <w:t>637</w:t>
      </w:r>
      <w:r w:rsidRPr="00AE139D">
        <w:rPr>
          <w:rFonts w:ascii="Cambria" w:eastAsia="Calibri" w:hAnsi="Cambria" w:cs="Calibri"/>
          <w:sz w:val="24"/>
          <w:szCs w:val="24"/>
        </w:rPr>
        <w:t xml:space="preserve"> predstavnika zainteresirane javnosti, od čega najviše </w:t>
      </w:r>
      <w:r>
        <w:rPr>
          <w:rFonts w:ascii="Cambria" w:eastAsia="Calibri" w:hAnsi="Cambria" w:cs="Calibri"/>
          <w:sz w:val="24"/>
          <w:szCs w:val="24"/>
        </w:rPr>
        <w:t>ustanova (336), komora</w:t>
      </w:r>
      <w:r w:rsidRPr="00AE139D">
        <w:rPr>
          <w:rFonts w:ascii="Cambria" w:eastAsia="Calibri" w:hAnsi="Cambria" w:cs="Calibri"/>
          <w:sz w:val="24"/>
          <w:szCs w:val="24"/>
        </w:rPr>
        <w:t xml:space="preserve"> (</w:t>
      </w:r>
      <w:r>
        <w:rPr>
          <w:rFonts w:ascii="Cambria" w:eastAsia="Calibri" w:hAnsi="Cambria" w:cs="Calibri"/>
          <w:sz w:val="24"/>
          <w:szCs w:val="24"/>
        </w:rPr>
        <w:t>260</w:t>
      </w:r>
      <w:r w:rsidRPr="00AE139D">
        <w:rPr>
          <w:rFonts w:ascii="Cambria" w:eastAsia="Calibri" w:hAnsi="Cambria" w:cs="Calibri"/>
          <w:sz w:val="24"/>
          <w:szCs w:val="24"/>
        </w:rPr>
        <w:t>),</w:t>
      </w:r>
      <w:r w:rsidRPr="00B95CA5">
        <w:t xml:space="preserve"> </w:t>
      </w:r>
      <w:r>
        <w:rPr>
          <w:rFonts w:ascii="Cambria" w:eastAsia="Calibri" w:hAnsi="Cambria" w:cs="Calibri"/>
          <w:sz w:val="24"/>
          <w:szCs w:val="24"/>
        </w:rPr>
        <w:t>udruga (186) te</w:t>
      </w:r>
      <w:r w:rsidRPr="00AE139D">
        <w:rPr>
          <w:rFonts w:ascii="Cambria" w:eastAsia="Calibri" w:hAnsi="Cambria" w:cs="Calibri"/>
          <w:sz w:val="24"/>
          <w:szCs w:val="24"/>
        </w:rPr>
        <w:t xml:space="preserve"> </w:t>
      </w:r>
      <w:r>
        <w:rPr>
          <w:rFonts w:ascii="Cambria" w:eastAsia="Calibri" w:hAnsi="Cambria" w:cs="Calibri"/>
          <w:sz w:val="24"/>
          <w:szCs w:val="24"/>
        </w:rPr>
        <w:t>predstavnika akademske zajednice</w:t>
      </w:r>
      <w:r w:rsidRPr="00AE139D">
        <w:rPr>
          <w:rFonts w:ascii="Cambria" w:eastAsia="Calibri" w:hAnsi="Cambria" w:cs="Calibri"/>
          <w:sz w:val="24"/>
          <w:szCs w:val="24"/>
        </w:rPr>
        <w:t xml:space="preserve"> (</w:t>
      </w:r>
      <w:r>
        <w:rPr>
          <w:rFonts w:ascii="Cambria" w:eastAsia="Calibri" w:hAnsi="Cambria" w:cs="Calibri"/>
          <w:sz w:val="24"/>
          <w:szCs w:val="24"/>
        </w:rPr>
        <w:t>137</w:t>
      </w:r>
      <w:r w:rsidRPr="00AE139D">
        <w:rPr>
          <w:rFonts w:ascii="Cambria" w:eastAsia="Calibri" w:hAnsi="Cambria" w:cs="Calibri"/>
          <w:sz w:val="24"/>
          <w:szCs w:val="24"/>
        </w:rPr>
        <w:t>)</w:t>
      </w:r>
      <w:r>
        <w:rPr>
          <w:rFonts w:ascii="Cambria" w:eastAsia="Calibri" w:hAnsi="Cambria" w:cs="Calibri"/>
          <w:sz w:val="24"/>
          <w:szCs w:val="24"/>
        </w:rPr>
        <w:t>.</w:t>
      </w:r>
    </w:p>
    <w:p w14:paraId="43A48B7E" w14:textId="77777777" w:rsidR="00650040" w:rsidRDefault="00650040" w:rsidP="0046680F">
      <w:pPr>
        <w:pStyle w:val="Heading2"/>
        <w:spacing w:after="120"/>
      </w:pPr>
      <w:bookmarkStart w:id="13" w:name="_Toc4076872"/>
      <w:r w:rsidRPr="00AB758C">
        <w:t>4.3. Metode savjetovanja</w:t>
      </w:r>
      <w:bookmarkEnd w:id="13"/>
    </w:p>
    <w:p w14:paraId="1A882BC7" w14:textId="68978449" w:rsidR="006A32D9" w:rsidRDefault="0001234B" w:rsidP="0001234B">
      <w:pPr>
        <w:jc w:val="both"/>
        <w:rPr>
          <w:rFonts w:ascii="Cambria" w:hAnsi="Cambria"/>
          <w:sz w:val="24"/>
          <w:szCs w:val="24"/>
        </w:rPr>
      </w:pPr>
      <w:r w:rsidRPr="0001234B">
        <w:rPr>
          <w:rFonts w:ascii="Cambria" w:hAnsi="Cambria"/>
          <w:sz w:val="24"/>
          <w:szCs w:val="24"/>
        </w:rPr>
        <w:t>U 201</w:t>
      </w:r>
      <w:r>
        <w:rPr>
          <w:rFonts w:ascii="Cambria" w:hAnsi="Cambria"/>
          <w:sz w:val="24"/>
          <w:szCs w:val="24"/>
        </w:rPr>
        <w:t>8</w:t>
      </w:r>
      <w:r w:rsidRPr="0001234B">
        <w:rPr>
          <w:rFonts w:ascii="Cambria" w:hAnsi="Cambria"/>
          <w:sz w:val="24"/>
          <w:szCs w:val="24"/>
        </w:rPr>
        <w:t>. primarna metoda savjetovanja bila je internetsko</w:t>
      </w:r>
      <w:r>
        <w:rPr>
          <w:rFonts w:ascii="Cambria" w:hAnsi="Cambria"/>
          <w:sz w:val="24"/>
          <w:szCs w:val="24"/>
        </w:rPr>
        <w:t xml:space="preserve"> savjetovanje, što je i </w:t>
      </w:r>
      <w:r w:rsidR="00E105BF">
        <w:rPr>
          <w:rFonts w:ascii="Cambria" w:hAnsi="Cambria"/>
          <w:sz w:val="24"/>
          <w:szCs w:val="24"/>
        </w:rPr>
        <w:t xml:space="preserve">očekivano </w:t>
      </w:r>
      <w:r w:rsidRPr="0001234B">
        <w:rPr>
          <w:rFonts w:ascii="Cambria" w:hAnsi="Cambria"/>
          <w:sz w:val="24"/>
          <w:szCs w:val="24"/>
        </w:rPr>
        <w:t>imajući u vidu obvezu korištenja središnjeg portala za savjetov</w:t>
      </w:r>
      <w:r>
        <w:rPr>
          <w:rFonts w:ascii="Cambria" w:hAnsi="Cambria"/>
          <w:sz w:val="24"/>
          <w:szCs w:val="24"/>
        </w:rPr>
        <w:t xml:space="preserve">anja za tijela državne uprave. </w:t>
      </w:r>
      <w:r w:rsidRPr="0001234B">
        <w:rPr>
          <w:rFonts w:ascii="Cambria" w:hAnsi="Cambria"/>
          <w:sz w:val="24"/>
          <w:szCs w:val="24"/>
        </w:rPr>
        <w:t>Uz internetsko savjetovanje koje je provedeno za</w:t>
      </w:r>
      <w:r>
        <w:rPr>
          <w:rFonts w:ascii="Cambria" w:hAnsi="Cambria"/>
          <w:sz w:val="24"/>
          <w:szCs w:val="24"/>
        </w:rPr>
        <w:t xml:space="preserve"> 978</w:t>
      </w:r>
      <w:r w:rsidRPr="0001234B">
        <w:rPr>
          <w:rFonts w:ascii="Cambria" w:hAnsi="Cambria"/>
          <w:sz w:val="24"/>
          <w:szCs w:val="24"/>
        </w:rPr>
        <w:t xml:space="preserve"> </w:t>
      </w:r>
      <w:r>
        <w:rPr>
          <w:rFonts w:ascii="Cambria" w:hAnsi="Cambria"/>
          <w:sz w:val="24"/>
          <w:szCs w:val="24"/>
        </w:rPr>
        <w:t xml:space="preserve">akata, održano je 80 savjetodavnih </w:t>
      </w:r>
      <w:r w:rsidRPr="0001234B">
        <w:rPr>
          <w:rFonts w:ascii="Cambria" w:hAnsi="Cambria"/>
          <w:sz w:val="24"/>
          <w:szCs w:val="24"/>
        </w:rPr>
        <w:t xml:space="preserve">sastanaka i </w:t>
      </w:r>
      <w:r>
        <w:rPr>
          <w:rFonts w:ascii="Cambria" w:hAnsi="Cambria"/>
          <w:sz w:val="24"/>
          <w:szCs w:val="24"/>
        </w:rPr>
        <w:t>35</w:t>
      </w:r>
      <w:r w:rsidRPr="0001234B">
        <w:rPr>
          <w:rFonts w:ascii="Cambria" w:hAnsi="Cambria"/>
          <w:sz w:val="24"/>
          <w:szCs w:val="24"/>
        </w:rPr>
        <w:t xml:space="preserve"> javnih rasprava/javnih skupova. Korištene</w:t>
      </w:r>
      <w:r>
        <w:rPr>
          <w:rFonts w:ascii="Cambria" w:hAnsi="Cambria"/>
          <w:sz w:val="24"/>
          <w:szCs w:val="24"/>
        </w:rPr>
        <w:t xml:space="preserve"> su i druge metode informiranja</w:t>
      </w:r>
      <w:r w:rsidR="008A1AEF">
        <w:rPr>
          <w:rFonts w:ascii="Cambria" w:hAnsi="Cambria"/>
          <w:sz w:val="24"/>
          <w:szCs w:val="24"/>
        </w:rPr>
        <w:t xml:space="preserve"> </w:t>
      </w:r>
      <w:r w:rsidRPr="0001234B">
        <w:rPr>
          <w:rFonts w:ascii="Cambria" w:hAnsi="Cambria"/>
          <w:sz w:val="24"/>
          <w:szCs w:val="24"/>
        </w:rPr>
        <w:t>javnosti poput televizijskih i radijskih predsta</w:t>
      </w:r>
      <w:r w:rsidR="008A1AEF">
        <w:rPr>
          <w:rFonts w:ascii="Cambria" w:hAnsi="Cambria"/>
          <w:sz w:val="24"/>
          <w:szCs w:val="24"/>
        </w:rPr>
        <w:t>vljanja,</w:t>
      </w:r>
      <w:r w:rsidRPr="0001234B">
        <w:rPr>
          <w:rFonts w:ascii="Cambria" w:hAnsi="Cambria"/>
          <w:sz w:val="24"/>
          <w:szCs w:val="24"/>
        </w:rPr>
        <w:t xml:space="preserve"> javni</w:t>
      </w:r>
      <w:r>
        <w:rPr>
          <w:rFonts w:ascii="Cambria" w:hAnsi="Cambria"/>
          <w:sz w:val="24"/>
          <w:szCs w:val="24"/>
        </w:rPr>
        <w:t>h uvida</w:t>
      </w:r>
      <w:r w:rsidR="008A1AEF">
        <w:rPr>
          <w:rFonts w:ascii="Cambria" w:hAnsi="Cambria"/>
          <w:sz w:val="24"/>
          <w:szCs w:val="24"/>
        </w:rPr>
        <w:t xml:space="preserve"> i anketa</w:t>
      </w:r>
      <w:r>
        <w:rPr>
          <w:rFonts w:ascii="Cambria" w:hAnsi="Cambria"/>
          <w:sz w:val="24"/>
          <w:szCs w:val="24"/>
        </w:rPr>
        <w:t xml:space="preserve">. Ovdje treba napomenuti </w:t>
      </w:r>
      <w:r w:rsidRPr="0001234B">
        <w:rPr>
          <w:rFonts w:ascii="Cambria" w:hAnsi="Cambria"/>
          <w:sz w:val="24"/>
          <w:szCs w:val="24"/>
        </w:rPr>
        <w:t>da obveza provedbe savjetovanja putem portala e-Savjetov</w:t>
      </w:r>
      <w:r>
        <w:rPr>
          <w:rFonts w:ascii="Cambria" w:hAnsi="Cambria"/>
          <w:sz w:val="24"/>
          <w:szCs w:val="24"/>
        </w:rPr>
        <w:t xml:space="preserve">anja ne isključuje korištenje i </w:t>
      </w:r>
      <w:r w:rsidRPr="0001234B">
        <w:rPr>
          <w:rFonts w:ascii="Cambria" w:hAnsi="Cambria"/>
          <w:sz w:val="24"/>
          <w:szCs w:val="24"/>
        </w:rPr>
        <w:t xml:space="preserve">drugih metoda savjetovanja u svrhu </w:t>
      </w:r>
      <w:r w:rsidR="0046680F">
        <w:rPr>
          <w:rFonts w:ascii="Cambria" w:hAnsi="Cambria"/>
          <w:sz w:val="24"/>
          <w:szCs w:val="24"/>
        </w:rPr>
        <w:t>uključivanja</w:t>
      </w:r>
      <w:r w:rsidRPr="0001234B">
        <w:rPr>
          <w:rFonts w:ascii="Cambria" w:hAnsi="Cambria"/>
          <w:sz w:val="24"/>
          <w:szCs w:val="24"/>
        </w:rPr>
        <w:t xml:space="preserve"> što šireg</w:t>
      </w:r>
      <w:r w:rsidR="008A1AEF">
        <w:rPr>
          <w:rFonts w:ascii="Cambria" w:hAnsi="Cambria"/>
          <w:sz w:val="24"/>
          <w:szCs w:val="24"/>
        </w:rPr>
        <w:t xml:space="preserve"> kruga zainteresirane javnosti. Također i sukladno postupku procjene učinka propisa</w:t>
      </w:r>
      <w:r w:rsidR="00E105BF">
        <w:rPr>
          <w:rFonts w:ascii="Cambria" w:hAnsi="Cambria"/>
          <w:sz w:val="24"/>
          <w:szCs w:val="24"/>
        </w:rPr>
        <w:t>,</w:t>
      </w:r>
      <w:r w:rsidR="008A1AEF">
        <w:rPr>
          <w:rFonts w:ascii="Cambria" w:hAnsi="Cambria"/>
          <w:sz w:val="24"/>
          <w:szCs w:val="24"/>
        </w:rPr>
        <w:t xml:space="preserve"> tijela su pri donošenju zakona, odnosno izmjena i dopuna zakona dužna održati </w:t>
      </w:r>
      <w:r w:rsidR="008A1AEF" w:rsidRPr="008A1AEF">
        <w:rPr>
          <w:rFonts w:ascii="Cambria" w:hAnsi="Cambria"/>
          <w:sz w:val="24"/>
          <w:szCs w:val="24"/>
        </w:rPr>
        <w:t>javno izlaganje materije koja je predmet savjetovanja</w:t>
      </w:r>
      <w:r w:rsidR="008A1AEF">
        <w:rPr>
          <w:rFonts w:ascii="Cambria" w:hAnsi="Cambria"/>
          <w:sz w:val="24"/>
          <w:szCs w:val="24"/>
        </w:rPr>
        <w:t>.</w:t>
      </w:r>
    </w:p>
    <w:p w14:paraId="75044450" w14:textId="77777777" w:rsidR="003A3F36" w:rsidRDefault="003A3F36" w:rsidP="0001234B">
      <w:pPr>
        <w:jc w:val="both"/>
        <w:rPr>
          <w:rFonts w:ascii="Cambria" w:hAnsi="Cambria"/>
          <w:b/>
        </w:rPr>
      </w:pPr>
      <w:r w:rsidRPr="003A3F36">
        <w:rPr>
          <w:rFonts w:ascii="Cambria" w:hAnsi="Cambria"/>
          <w:b/>
        </w:rPr>
        <w:t>Grafički prikaz 4.: Metode savjetovanja</w:t>
      </w:r>
    </w:p>
    <w:p w14:paraId="3FBD94CB" w14:textId="77777777" w:rsidR="003A3F36" w:rsidRPr="003A3F36" w:rsidRDefault="003A3F36" w:rsidP="0001234B">
      <w:pPr>
        <w:jc w:val="both"/>
        <w:rPr>
          <w:rFonts w:ascii="Cambria" w:hAnsi="Cambria"/>
          <w:b/>
        </w:rPr>
      </w:pPr>
      <w:r w:rsidRPr="00131432">
        <w:rPr>
          <w:b/>
          <w:noProof/>
          <w:lang w:eastAsia="hr-HR"/>
        </w:rPr>
        <w:lastRenderedPageBreak/>
        <w:drawing>
          <wp:inline distT="0" distB="0" distL="0" distR="0" wp14:anchorId="364D8057" wp14:editId="56414E3D">
            <wp:extent cx="5943600" cy="3302000"/>
            <wp:effectExtent l="57150" t="19050" r="57150" b="889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7020097" w14:textId="77777777" w:rsidR="00650040" w:rsidRDefault="00650040" w:rsidP="0046680F">
      <w:pPr>
        <w:pStyle w:val="Heading2"/>
        <w:spacing w:after="120"/>
      </w:pPr>
      <w:bookmarkStart w:id="14" w:name="_Toc4076873"/>
      <w:r w:rsidRPr="00AB758C">
        <w:t>4.4. Trajanje savjetovanja</w:t>
      </w:r>
      <w:bookmarkEnd w:id="14"/>
    </w:p>
    <w:p w14:paraId="52DDA0AF" w14:textId="0117F552" w:rsidR="008A1AEF" w:rsidRDefault="008A1AEF" w:rsidP="008A1AEF">
      <w:pPr>
        <w:jc w:val="both"/>
        <w:rPr>
          <w:rFonts w:ascii="Cambria" w:hAnsi="Cambria"/>
          <w:sz w:val="24"/>
          <w:szCs w:val="24"/>
        </w:rPr>
      </w:pPr>
      <w:r w:rsidRPr="008A1AEF">
        <w:rPr>
          <w:rFonts w:ascii="Cambria" w:hAnsi="Cambria"/>
          <w:sz w:val="24"/>
          <w:szCs w:val="24"/>
        </w:rPr>
        <w:t>Od 1.033 provedena savjetovanja u 2018.</w:t>
      </w:r>
      <w:r w:rsidR="00E105BF">
        <w:rPr>
          <w:rFonts w:ascii="Cambria" w:hAnsi="Cambria"/>
          <w:sz w:val="24"/>
          <w:szCs w:val="24"/>
        </w:rPr>
        <w:t>,</w:t>
      </w:r>
      <w:r w:rsidRPr="008A1AEF">
        <w:rPr>
          <w:rFonts w:ascii="Cambria" w:hAnsi="Cambria"/>
          <w:sz w:val="24"/>
          <w:szCs w:val="24"/>
        </w:rPr>
        <w:t xml:space="preserve"> njih 911 trajalo je do 30 dana, dok su 122 savjetovanja trajala 30 dana ili duže, što čini 11,8% svih savjetovanja. </w:t>
      </w:r>
      <w:r>
        <w:rPr>
          <w:rFonts w:ascii="Cambria" w:hAnsi="Cambria"/>
          <w:sz w:val="24"/>
          <w:szCs w:val="24"/>
        </w:rPr>
        <w:t xml:space="preserve"> Ovi podaci prikazuju najnižu razinu poštivanja zakonskih odredbi vezanih za trajanje savjetovanja još od 2015.</w:t>
      </w:r>
    </w:p>
    <w:p w14:paraId="1B6A2EC5" w14:textId="6296B84A" w:rsidR="00F2354D" w:rsidRDefault="00F2354D" w:rsidP="008A1AEF">
      <w:pPr>
        <w:jc w:val="both"/>
        <w:rPr>
          <w:rFonts w:ascii="Cambria" w:hAnsi="Cambria"/>
          <w:sz w:val="24"/>
          <w:szCs w:val="24"/>
        </w:rPr>
      </w:pPr>
      <w:r w:rsidRPr="008A1AEF">
        <w:rPr>
          <w:rFonts w:ascii="Cambria" w:hAnsi="Cambria"/>
          <w:sz w:val="24"/>
          <w:szCs w:val="24"/>
        </w:rPr>
        <w:t xml:space="preserve">Unatoč odredbi Zakona o pravu na pristup informacijama koja predviđa rok za savjetovanje sa zainteresiranom javnošću </w:t>
      </w:r>
      <w:r w:rsidR="00C259E6">
        <w:rPr>
          <w:rFonts w:ascii="Cambria" w:hAnsi="Cambria"/>
          <w:sz w:val="24"/>
          <w:szCs w:val="24"/>
        </w:rPr>
        <w:t xml:space="preserve">u pravilu </w:t>
      </w:r>
      <w:r w:rsidRPr="008A1AEF">
        <w:rPr>
          <w:rFonts w:ascii="Cambria" w:hAnsi="Cambria"/>
          <w:sz w:val="24"/>
          <w:szCs w:val="24"/>
        </w:rPr>
        <w:t>od 30 dana te obvezi objavljivanja planova savjetovanja koji bi trebali omogućiti poštivanje navedenog roka, niz državnih tijela i dalje provode savjetovanja u mnogo kraćem roku pozivajući se na žurnost rješavanja problema</w:t>
      </w:r>
      <w:r w:rsidR="00892C4B">
        <w:rPr>
          <w:rFonts w:ascii="Cambria" w:hAnsi="Cambria"/>
          <w:sz w:val="24"/>
          <w:szCs w:val="24"/>
        </w:rPr>
        <w:t>/donošenja akta</w:t>
      </w:r>
      <w:r w:rsidRPr="008A1AEF">
        <w:rPr>
          <w:rFonts w:ascii="Cambria" w:hAnsi="Cambria"/>
          <w:sz w:val="24"/>
          <w:szCs w:val="24"/>
        </w:rPr>
        <w:t>.</w:t>
      </w:r>
    </w:p>
    <w:p w14:paraId="53910332" w14:textId="7C9778EB" w:rsidR="00F2354D" w:rsidRDefault="00F2354D" w:rsidP="008A1AEF">
      <w:pPr>
        <w:jc w:val="both"/>
        <w:rPr>
          <w:rFonts w:ascii="Cambria" w:hAnsi="Cambria"/>
          <w:sz w:val="24"/>
          <w:szCs w:val="24"/>
        </w:rPr>
      </w:pPr>
      <w:r w:rsidRPr="00F2354D">
        <w:rPr>
          <w:rFonts w:ascii="Cambria" w:hAnsi="Cambria"/>
          <w:sz w:val="24"/>
          <w:szCs w:val="24"/>
        </w:rPr>
        <w:t xml:space="preserve">Imajući u vidu da od početka praćenja provedbe savjetovanja s javnošću </w:t>
      </w:r>
      <w:r w:rsidR="00892C4B">
        <w:rPr>
          <w:rFonts w:ascii="Cambria" w:hAnsi="Cambria"/>
          <w:sz w:val="24"/>
          <w:szCs w:val="24"/>
        </w:rPr>
        <w:t xml:space="preserve">na državnoj razini </w:t>
      </w:r>
      <w:r w:rsidRPr="00F2354D">
        <w:rPr>
          <w:rFonts w:ascii="Cambria" w:hAnsi="Cambria"/>
          <w:sz w:val="24"/>
          <w:szCs w:val="24"/>
        </w:rPr>
        <w:t xml:space="preserve">2010. nije zabilježeno da je na godišnjoj razini više od 50% savjetovanja provedeno u zakonskom roku, nameće se pitanje </w:t>
      </w:r>
      <w:r w:rsidR="00220E77">
        <w:rPr>
          <w:rFonts w:ascii="Cambria" w:hAnsi="Cambria"/>
          <w:sz w:val="24"/>
          <w:szCs w:val="24"/>
        </w:rPr>
        <w:t>poštivanja zakonskih odredbi vezanih za provedbu savjetovanja.</w:t>
      </w:r>
    </w:p>
    <w:p w14:paraId="474368F8" w14:textId="77777777" w:rsidR="00822529" w:rsidRDefault="00822529" w:rsidP="008A1AEF">
      <w:pPr>
        <w:jc w:val="both"/>
        <w:rPr>
          <w:rFonts w:ascii="Cambria" w:hAnsi="Cambria"/>
          <w:sz w:val="24"/>
          <w:szCs w:val="24"/>
        </w:rPr>
      </w:pPr>
    </w:p>
    <w:p w14:paraId="001ECB43" w14:textId="77777777" w:rsidR="00822529" w:rsidRDefault="00822529" w:rsidP="008A1AEF">
      <w:pPr>
        <w:jc w:val="both"/>
        <w:rPr>
          <w:rFonts w:ascii="Cambria" w:hAnsi="Cambria"/>
          <w:sz w:val="24"/>
          <w:szCs w:val="24"/>
        </w:rPr>
      </w:pPr>
    </w:p>
    <w:p w14:paraId="386882A9" w14:textId="77777777" w:rsidR="00822529" w:rsidRDefault="00822529" w:rsidP="008A1AEF">
      <w:pPr>
        <w:jc w:val="both"/>
        <w:rPr>
          <w:rFonts w:ascii="Cambria" w:hAnsi="Cambria"/>
          <w:sz w:val="24"/>
          <w:szCs w:val="24"/>
        </w:rPr>
      </w:pPr>
    </w:p>
    <w:p w14:paraId="1C696584" w14:textId="77777777" w:rsidR="00822529" w:rsidRDefault="00822529" w:rsidP="008A1AEF">
      <w:pPr>
        <w:jc w:val="both"/>
        <w:rPr>
          <w:rFonts w:ascii="Cambria" w:hAnsi="Cambria"/>
          <w:sz w:val="24"/>
          <w:szCs w:val="24"/>
        </w:rPr>
      </w:pPr>
    </w:p>
    <w:p w14:paraId="12682BD5" w14:textId="77777777" w:rsidR="00822529" w:rsidRDefault="00822529" w:rsidP="008A1AEF">
      <w:pPr>
        <w:jc w:val="both"/>
        <w:rPr>
          <w:rFonts w:ascii="Cambria" w:hAnsi="Cambria"/>
          <w:sz w:val="24"/>
          <w:szCs w:val="24"/>
        </w:rPr>
      </w:pPr>
    </w:p>
    <w:p w14:paraId="41664AAB" w14:textId="77777777" w:rsidR="00822529" w:rsidRDefault="00822529" w:rsidP="008A1AEF">
      <w:pPr>
        <w:jc w:val="both"/>
        <w:rPr>
          <w:rFonts w:ascii="Cambria" w:hAnsi="Cambria"/>
          <w:sz w:val="24"/>
          <w:szCs w:val="24"/>
        </w:rPr>
      </w:pPr>
    </w:p>
    <w:p w14:paraId="0C4B561F" w14:textId="77777777" w:rsidR="00822529" w:rsidRDefault="00822529" w:rsidP="008A1AEF">
      <w:pPr>
        <w:jc w:val="both"/>
        <w:rPr>
          <w:rFonts w:ascii="Cambria" w:hAnsi="Cambria"/>
          <w:sz w:val="24"/>
          <w:szCs w:val="24"/>
        </w:rPr>
      </w:pPr>
    </w:p>
    <w:p w14:paraId="53CCBB8F" w14:textId="55CAA62F" w:rsidR="0046680F" w:rsidRDefault="0046680F" w:rsidP="008A1AEF">
      <w:pPr>
        <w:jc w:val="both"/>
        <w:rPr>
          <w:rFonts w:ascii="Cambria" w:hAnsi="Cambria"/>
          <w:sz w:val="24"/>
          <w:szCs w:val="24"/>
        </w:rPr>
      </w:pPr>
      <w:r w:rsidRPr="00F2354D">
        <w:rPr>
          <w:rFonts w:ascii="Cambria" w:hAnsi="Cambria"/>
          <w:b/>
        </w:rPr>
        <w:t>Grafički prikaz 5.: Trajanje savjetovanja</w:t>
      </w:r>
    </w:p>
    <w:p w14:paraId="25D072D4" w14:textId="42DD207C" w:rsidR="0046680F" w:rsidRDefault="0046680F" w:rsidP="00581E88">
      <w:pPr>
        <w:jc w:val="both"/>
        <w:rPr>
          <w:rFonts w:ascii="Cambria" w:hAnsi="Cambria"/>
          <w:sz w:val="24"/>
          <w:szCs w:val="24"/>
        </w:rPr>
      </w:pPr>
      <w:r w:rsidRPr="00131432">
        <w:rPr>
          <w:b/>
          <w:noProof/>
          <w:lang w:eastAsia="hr-HR"/>
        </w:rPr>
        <w:drawing>
          <wp:inline distT="0" distB="0" distL="0" distR="0" wp14:anchorId="38340778" wp14:editId="0EDBA4C1">
            <wp:extent cx="5943600" cy="3302000"/>
            <wp:effectExtent l="57150" t="19050" r="57150" b="889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A5FBCA9" w14:textId="0DCDDB7A" w:rsidR="00581E88" w:rsidRDefault="00220E77" w:rsidP="00581E88">
      <w:pPr>
        <w:jc w:val="both"/>
        <w:rPr>
          <w:rFonts w:ascii="Cambria" w:hAnsi="Cambria"/>
          <w:sz w:val="24"/>
          <w:szCs w:val="24"/>
        </w:rPr>
      </w:pPr>
      <w:r>
        <w:rPr>
          <w:rFonts w:ascii="Cambria" w:hAnsi="Cambria"/>
          <w:sz w:val="24"/>
          <w:szCs w:val="24"/>
        </w:rPr>
        <w:t xml:space="preserve">Ovdje je važno i istaknuti ulogu </w:t>
      </w:r>
      <w:r w:rsidR="00581E88" w:rsidRPr="00581E88">
        <w:rPr>
          <w:rFonts w:ascii="Cambria" w:hAnsi="Cambria"/>
          <w:sz w:val="24"/>
          <w:szCs w:val="24"/>
        </w:rPr>
        <w:t>Povjerenik</w:t>
      </w:r>
      <w:r>
        <w:rPr>
          <w:rFonts w:ascii="Cambria" w:hAnsi="Cambria"/>
          <w:sz w:val="24"/>
          <w:szCs w:val="24"/>
        </w:rPr>
        <w:t>a</w:t>
      </w:r>
      <w:r w:rsidR="00581E88" w:rsidRPr="00581E88">
        <w:rPr>
          <w:rFonts w:ascii="Cambria" w:hAnsi="Cambria"/>
          <w:sz w:val="24"/>
          <w:szCs w:val="24"/>
        </w:rPr>
        <w:t xml:space="preserve"> za informiranje, kao neovisno</w:t>
      </w:r>
      <w:r>
        <w:rPr>
          <w:rFonts w:ascii="Cambria" w:hAnsi="Cambria"/>
          <w:sz w:val="24"/>
          <w:szCs w:val="24"/>
        </w:rPr>
        <w:t>g</w:t>
      </w:r>
      <w:r w:rsidR="00581E88" w:rsidRPr="00581E88">
        <w:rPr>
          <w:rFonts w:ascii="Cambria" w:hAnsi="Cambria"/>
          <w:sz w:val="24"/>
          <w:szCs w:val="24"/>
        </w:rPr>
        <w:t xml:space="preserve"> </w:t>
      </w:r>
      <w:r w:rsidR="00581E88">
        <w:rPr>
          <w:rFonts w:ascii="Cambria" w:hAnsi="Cambria"/>
          <w:sz w:val="24"/>
          <w:szCs w:val="24"/>
        </w:rPr>
        <w:t>tijel</w:t>
      </w:r>
      <w:r>
        <w:rPr>
          <w:rFonts w:ascii="Cambria" w:hAnsi="Cambria"/>
          <w:sz w:val="24"/>
          <w:szCs w:val="24"/>
        </w:rPr>
        <w:t>a koje</w:t>
      </w:r>
      <w:r w:rsidR="00581E88">
        <w:rPr>
          <w:rFonts w:ascii="Cambria" w:hAnsi="Cambria"/>
          <w:sz w:val="24"/>
          <w:szCs w:val="24"/>
        </w:rPr>
        <w:t xml:space="preserve"> </w:t>
      </w:r>
      <w:r w:rsidR="00581E88" w:rsidRPr="00581E88">
        <w:rPr>
          <w:rFonts w:ascii="Cambria" w:hAnsi="Cambria"/>
          <w:sz w:val="24"/>
          <w:szCs w:val="24"/>
        </w:rPr>
        <w:t>prati pr</w:t>
      </w:r>
      <w:r w:rsidR="00581E88">
        <w:rPr>
          <w:rFonts w:ascii="Cambria" w:hAnsi="Cambria"/>
          <w:sz w:val="24"/>
          <w:szCs w:val="24"/>
        </w:rPr>
        <w:t xml:space="preserve">ovedbu Zakona opravu na pristup </w:t>
      </w:r>
      <w:r w:rsidR="00581E88" w:rsidRPr="00581E88">
        <w:rPr>
          <w:rFonts w:ascii="Cambria" w:hAnsi="Cambria"/>
          <w:sz w:val="24"/>
          <w:szCs w:val="24"/>
        </w:rPr>
        <w:t>informacijama</w:t>
      </w:r>
      <w:r>
        <w:rPr>
          <w:rFonts w:ascii="Cambria" w:hAnsi="Cambria"/>
          <w:sz w:val="24"/>
          <w:szCs w:val="24"/>
        </w:rPr>
        <w:t xml:space="preserve"> pa tako i odredbi vezanih za provedbu savjetovanja s javnošću. Povjerenik za informiranje provodi inspekcijski nadzor nad tijelima javne vlasti, te postupa po predstavkama građana utvrđujući moguće povrede Zakona, te nalažući tijelima da usklade svoje postupanje sa Zakonom. Povjerenik ima mogućnost izricanja novčanih kazni za neprovođenje Zakona te pokretanje postupka protiv tijela pred prekršajnim sudom.</w:t>
      </w:r>
      <w:r w:rsidR="00EC70B8">
        <w:rPr>
          <w:rFonts w:ascii="Cambria" w:hAnsi="Cambria"/>
          <w:sz w:val="24"/>
          <w:szCs w:val="24"/>
        </w:rPr>
        <w:t xml:space="preserve"> </w:t>
      </w:r>
    </w:p>
    <w:p w14:paraId="6EA2C8CF" w14:textId="514A9D90" w:rsidR="00EC70B8" w:rsidRDefault="00EC70B8" w:rsidP="00411F9F">
      <w:pPr>
        <w:jc w:val="both"/>
        <w:rPr>
          <w:rFonts w:ascii="Cambria" w:hAnsi="Cambria"/>
          <w:sz w:val="24"/>
          <w:szCs w:val="24"/>
        </w:rPr>
      </w:pPr>
      <w:r w:rsidRPr="00EC70B8">
        <w:rPr>
          <w:rFonts w:ascii="Cambria" w:hAnsi="Cambria"/>
          <w:sz w:val="24"/>
          <w:szCs w:val="24"/>
        </w:rPr>
        <w:t>Od predstavki građana izjavljenih u 201</w:t>
      </w:r>
      <w:r w:rsidR="006221A0">
        <w:rPr>
          <w:rFonts w:ascii="Cambria" w:hAnsi="Cambria"/>
          <w:sz w:val="24"/>
          <w:szCs w:val="24"/>
        </w:rPr>
        <w:t>8</w:t>
      </w:r>
      <w:r w:rsidRPr="00EC70B8">
        <w:rPr>
          <w:rFonts w:ascii="Cambria" w:hAnsi="Cambria"/>
          <w:sz w:val="24"/>
          <w:szCs w:val="24"/>
        </w:rPr>
        <w:t>.,</w:t>
      </w:r>
      <w:r>
        <w:rPr>
          <w:rFonts w:ascii="Cambria" w:hAnsi="Cambria"/>
          <w:sz w:val="24"/>
          <w:szCs w:val="24"/>
        </w:rPr>
        <w:t xml:space="preserve"> Povjereniku za informiranje</w:t>
      </w:r>
      <w:r>
        <w:rPr>
          <w:rStyle w:val="FootnoteReference"/>
          <w:rFonts w:ascii="Cambria" w:hAnsi="Cambria"/>
          <w:sz w:val="24"/>
          <w:szCs w:val="24"/>
        </w:rPr>
        <w:footnoteReference w:id="7"/>
      </w:r>
      <w:r>
        <w:rPr>
          <w:rFonts w:ascii="Cambria" w:hAnsi="Cambria"/>
          <w:sz w:val="24"/>
          <w:szCs w:val="24"/>
        </w:rPr>
        <w:t xml:space="preserve"> </w:t>
      </w:r>
      <w:r w:rsidRPr="00EC70B8">
        <w:rPr>
          <w:rFonts w:ascii="Cambria" w:hAnsi="Cambria"/>
          <w:sz w:val="24"/>
          <w:szCs w:val="24"/>
        </w:rPr>
        <w:t xml:space="preserve"> njih 1</w:t>
      </w:r>
      <w:r w:rsidR="00411F9F">
        <w:rPr>
          <w:rFonts w:ascii="Cambria" w:hAnsi="Cambria"/>
          <w:sz w:val="24"/>
          <w:szCs w:val="24"/>
        </w:rPr>
        <w:t>5</w:t>
      </w:r>
      <w:r w:rsidRPr="00EC70B8">
        <w:rPr>
          <w:rFonts w:ascii="Cambria" w:hAnsi="Cambria"/>
          <w:sz w:val="24"/>
          <w:szCs w:val="24"/>
        </w:rPr>
        <w:t xml:space="preserve"> ili </w:t>
      </w:r>
      <w:r w:rsidR="00411F9F">
        <w:rPr>
          <w:rFonts w:ascii="Cambria" w:hAnsi="Cambria"/>
          <w:sz w:val="24"/>
          <w:szCs w:val="24"/>
        </w:rPr>
        <w:t>5</w:t>
      </w:r>
      <w:r w:rsidRPr="00EC70B8">
        <w:rPr>
          <w:rFonts w:ascii="Cambria" w:hAnsi="Cambria"/>
          <w:sz w:val="24"/>
          <w:szCs w:val="24"/>
        </w:rPr>
        <w:t xml:space="preserve"> % svih pr</w:t>
      </w:r>
      <w:r w:rsidR="000E47D2">
        <w:rPr>
          <w:rFonts w:ascii="Cambria" w:hAnsi="Cambria"/>
          <w:sz w:val="24"/>
          <w:szCs w:val="24"/>
        </w:rPr>
        <w:t xml:space="preserve">edstavki odnosilo se na kršenje </w:t>
      </w:r>
      <w:r w:rsidRPr="00EC70B8">
        <w:rPr>
          <w:rFonts w:ascii="Cambria" w:hAnsi="Cambria"/>
          <w:sz w:val="24"/>
          <w:szCs w:val="24"/>
        </w:rPr>
        <w:t>odredbe članka 11. o savjetovanjima s javnošću. Podnositelji s</w:t>
      </w:r>
      <w:r>
        <w:rPr>
          <w:rFonts w:ascii="Cambria" w:hAnsi="Cambria"/>
          <w:sz w:val="24"/>
          <w:szCs w:val="24"/>
        </w:rPr>
        <w:t xml:space="preserve">u uglavnom bile fizičke osobe i </w:t>
      </w:r>
      <w:r w:rsidR="00411F9F">
        <w:rPr>
          <w:rFonts w:ascii="Cambria" w:hAnsi="Cambria"/>
          <w:sz w:val="24"/>
          <w:szCs w:val="24"/>
        </w:rPr>
        <w:t>udruge</w:t>
      </w:r>
      <w:r>
        <w:rPr>
          <w:rFonts w:ascii="Cambria" w:hAnsi="Cambria"/>
          <w:sz w:val="24"/>
          <w:szCs w:val="24"/>
        </w:rPr>
        <w:t xml:space="preserve">. </w:t>
      </w:r>
      <w:r w:rsidRPr="00EC70B8">
        <w:rPr>
          <w:rFonts w:ascii="Cambria" w:hAnsi="Cambria"/>
          <w:sz w:val="24"/>
          <w:szCs w:val="24"/>
        </w:rPr>
        <w:t>Najveći dio predstavki odnosi se na nepoštivanje propisano</w:t>
      </w:r>
      <w:r>
        <w:rPr>
          <w:rFonts w:ascii="Cambria" w:hAnsi="Cambria"/>
          <w:sz w:val="24"/>
          <w:szCs w:val="24"/>
        </w:rPr>
        <w:t xml:space="preserve">g vremenskog razdoblja provedbe </w:t>
      </w:r>
      <w:r w:rsidRPr="00EC70B8">
        <w:rPr>
          <w:rFonts w:ascii="Cambria" w:hAnsi="Cambria"/>
          <w:sz w:val="24"/>
          <w:szCs w:val="24"/>
        </w:rPr>
        <w:t>savjetovanja od 30 dana, odnosno na potpuni izostanak provedbe savjetovanja s javnošću.</w:t>
      </w:r>
      <w:r w:rsidR="00411F9F" w:rsidRPr="00411F9F">
        <w:t xml:space="preserve"> </w:t>
      </w:r>
      <w:r w:rsidR="00411F9F" w:rsidRPr="00411F9F">
        <w:rPr>
          <w:rFonts w:ascii="Cambria" w:hAnsi="Cambria"/>
          <w:sz w:val="24"/>
          <w:szCs w:val="24"/>
        </w:rPr>
        <w:t>Podnositelji predstavki također su ukazivali da tijela ne donose p</w:t>
      </w:r>
      <w:r w:rsidR="00411F9F">
        <w:rPr>
          <w:rFonts w:ascii="Cambria" w:hAnsi="Cambria"/>
          <w:sz w:val="24"/>
          <w:szCs w:val="24"/>
        </w:rPr>
        <w:t xml:space="preserve">lanove savjetovanja s javnošću, </w:t>
      </w:r>
      <w:r w:rsidR="00411F9F" w:rsidRPr="00411F9F">
        <w:rPr>
          <w:rFonts w:ascii="Cambria" w:hAnsi="Cambria"/>
          <w:sz w:val="24"/>
          <w:szCs w:val="24"/>
        </w:rPr>
        <w:t>ne provode savjetovanje o svim općim aktima kojima se u</w:t>
      </w:r>
      <w:r w:rsidR="00411F9F">
        <w:rPr>
          <w:rFonts w:ascii="Cambria" w:hAnsi="Cambria"/>
          <w:sz w:val="24"/>
          <w:szCs w:val="24"/>
        </w:rPr>
        <w:t xml:space="preserve">tječe na interese korisnika, ne </w:t>
      </w:r>
      <w:r w:rsidR="00411F9F" w:rsidRPr="00411F9F">
        <w:rPr>
          <w:rFonts w:ascii="Cambria" w:hAnsi="Cambria"/>
          <w:sz w:val="24"/>
          <w:szCs w:val="24"/>
        </w:rPr>
        <w:t>objavljuju izvješća o provedenom savjetovanju te da objavljena izvješća</w:t>
      </w:r>
      <w:r w:rsidR="00411F9F">
        <w:rPr>
          <w:rFonts w:ascii="Cambria" w:hAnsi="Cambria"/>
          <w:sz w:val="24"/>
          <w:szCs w:val="24"/>
        </w:rPr>
        <w:t xml:space="preserve"> o provedenom </w:t>
      </w:r>
      <w:r w:rsidR="00411F9F" w:rsidRPr="00411F9F">
        <w:rPr>
          <w:rFonts w:ascii="Cambria" w:hAnsi="Cambria"/>
          <w:sz w:val="24"/>
          <w:szCs w:val="24"/>
        </w:rPr>
        <w:t>savjetovanju ne sadrže odgovore na pristigle komentare</w:t>
      </w:r>
      <w:r w:rsidR="00411F9F">
        <w:rPr>
          <w:rFonts w:ascii="Cambria" w:hAnsi="Cambria"/>
          <w:sz w:val="24"/>
          <w:szCs w:val="24"/>
        </w:rPr>
        <w:t>.</w:t>
      </w:r>
    </w:p>
    <w:p w14:paraId="2C926987" w14:textId="77777777" w:rsidR="0046680F" w:rsidRDefault="0046680F" w:rsidP="0046680F">
      <w:pPr>
        <w:jc w:val="both"/>
        <w:rPr>
          <w:rFonts w:ascii="Cambria" w:hAnsi="Cambria"/>
          <w:sz w:val="24"/>
          <w:szCs w:val="24"/>
        </w:rPr>
      </w:pPr>
      <w:r>
        <w:rPr>
          <w:rFonts w:ascii="Cambria" w:hAnsi="Cambria"/>
          <w:sz w:val="24"/>
          <w:szCs w:val="24"/>
        </w:rPr>
        <w:t xml:space="preserve">Prilikom provedbe savjetovanja potrebno je imati na umu činjenicu da svi dionici nemaju jednake mogućnosti i resurse za uključivanje u savjetovanja zbog čega je potrebno ostaviti </w:t>
      </w:r>
      <w:r>
        <w:rPr>
          <w:rFonts w:ascii="Cambria" w:hAnsi="Cambria"/>
          <w:sz w:val="24"/>
          <w:szCs w:val="24"/>
        </w:rPr>
        <w:lastRenderedPageBreak/>
        <w:t xml:space="preserve">dovoljan vremenski rok da se svi zainteresirani mogu uključiti, te po potrebi kombinirati različite metode savjetovanja. Također, potrebno je prevenirati „zamor savjetovanja“ kada se javnost poziva na uključivanje u savjetovanje nekoliko puta na istu temu bez većih sadržajnih izmjena, ili kad se poziva na uključivanje u savjetovanje bez mogućnosti stvarnog utjecaja na akt o kojem se provodi savjetovanje. </w:t>
      </w:r>
    </w:p>
    <w:p w14:paraId="6AB93058" w14:textId="777DDDFE" w:rsidR="0046680F" w:rsidRPr="0046680F" w:rsidRDefault="0046680F" w:rsidP="0046680F">
      <w:pPr>
        <w:pStyle w:val="Heading2"/>
        <w:spacing w:after="120"/>
      </w:pPr>
      <w:bookmarkStart w:id="15" w:name="_Toc4076874"/>
      <w:r w:rsidRPr="0046680F">
        <w:t xml:space="preserve">4.5. </w:t>
      </w:r>
      <w:r>
        <w:t>Komparativna praksa trajanja savjetovanja u zemljama Europske unije</w:t>
      </w:r>
      <w:bookmarkEnd w:id="15"/>
    </w:p>
    <w:p w14:paraId="3403C583" w14:textId="55D0A8FD" w:rsidR="00770E9C" w:rsidRDefault="00220E77" w:rsidP="008A1AEF">
      <w:pPr>
        <w:jc w:val="both"/>
        <w:rPr>
          <w:rFonts w:ascii="Cambria" w:hAnsi="Cambria"/>
          <w:sz w:val="24"/>
          <w:szCs w:val="24"/>
        </w:rPr>
      </w:pPr>
      <w:r>
        <w:rPr>
          <w:rFonts w:ascii="Cambria" w:hAnsi="Cambria"/>
          <w:sz w:val="24"/>
          <w:szCs w:val="24"/>
        </w:rPr>
        <w:t xml:space="preserve">Sagledavajući praksu obveznog trajanja savjetovanja na razini Europske unije, većina </w:t>
      </w:r>
      <w:r w:rsidR="005A3B63">
        <w:rPr>
          <w:rFonts w:ascii="Cambria" w:hAnsi="Cambria"/>
          <w:sz w:val="24"/>
          <w:szCs w:val="24"/>
        </w:rPr>
        <w:t>zemalja članica  ima odredbe vezane za minimalan period trajanja savjetovanja s javnošću</w:t>
      </w:r>
      <w:r w:rsidR="005A3B63" w:rsidRPr="005A3B63">
        <w:rPr>
          <w:rFonts w:ascii="Cambria" w:hAnsi="Cambria"/>
          <w:sz w:val="24"/>
          <w:szCs w:val="24"/>
        </w:rPr>
        <w:t xml:space="preserve">. </w:t>
      </w:r>
      <w:r w:rsidR="005A3B63">
        <w:rPr>
          <w:rFonts w:ascii="Cambria" w:hAnsi="Cambria"/>
          <w:sz w:val="24"/>
          <w:szCs w:val="24"/>
        </w:rPr>
        <w:t>Ipak</w:t>
      </w:r>
      <w:r w:rsidR="00B21DD2">
        <w:rPr>
          <w:rFonts w:ascii="Cambria" w:hAnsi="Cambria"/>
          <w:sz w:val="24"/>
          <w:szCs w:val="24"/>
        </w:rPr>
        <w:t>,</w:t>
      </w:r>
      <w:r w:rsidR="005A3B63">
        <w:rPr>
          <w:rFonts w:ascii="Cambria" w:hAnsi="Cambria"/>
          <w:sz w:val="24"/>
          <w:szCs w:val="24"/>
        </w:rPr>
        <w:t xml:space="preserve"> neke članice postavile su fleksibilne rokove</w:t>
      </w:r>
      <w:r w:rsidR="005A3B63" w:rsidRPr="005A3B63">
        <w:rPr>
          <w:rFonts w:ascii="Cambria" w:hAnsi="Cambria"/>
          <w:sz w:val="24"/>
          <w:szCs w:val="24"/>
        </w:rPr>
        <w:t xml:space="preserve"> </w:t>
      </w:r>
      <w:r w:rsidR="00770E9C">
        <w:rPr>
          <w:rFonts w:ascii="Cambria" w:hAnsi="Cambria"/>
          <w:sz w:val="24"/>
          <w:szCs w:val="24"/>
        </w:rPr>
        <w:t xml:space="preserve">imajući u vidu fazu </w:t>
      </w:r>
      <w:r w:rsidR="00B21DD2">
        <w:rPr>
          <w:rFonts w:ascii="Cambria" w:hAnsi="Cambria"/>
          <w:sz w:val="24"/>
          <w:szCs w:val="24"/>
        </w:rPr>
        <w:t xml:space="preserve">zakonodavnog </w:t>
      </w:r>
      <w:r w:rsidR="00770E9C">
        <w:rPr>
          <w:rFonts w:ascii="Cambria" w:hAnsi="Cambria"/>
          <w:sz w:val="24"/>
          <w:szCs w:val="24"/>
        </w:rPr>
        <w:t>procesa</w:t>
      </w:r>
      <w:r w:rsidR="005A3B63" w:rsidRPr="005A3B63">
        <w:rPr>
          <w:rFonts w:ascii="Cambria" w:hAnsi="Cambria"/>
          <w:sz w:val="24"/>
          <w:szCs w:val="24"/>
        </w:rPr>
        <w:t xml:space="preserve">, </w:t>
      </w:r>
      <w:r w:rsidR="00770E9C">
        <w:rPr>
          <w:rFonts w:ascii="Cambria" w:hAnsi="Cambria"/>
          <w:sz w:val="24"/>
          <w:szCs w:val="24"/>
        </w:rPr>
        <w:t>tip propisa</w:t>
      </w:r>
      <w:r w:rsidR="005A3B63" w:rsidRPr="005A3B63">
        <w:rPr>
          <w:rFonts w:ascii="Cambria" w:hAnsi="Cambria"/>
          <w:sz w:val="24"/>
          <w:szCs w:val="24"/>
        </w:rPr>
        <w:t xml:space="preserve">, </w:t>
      </w:r>
      <w:r w:rsidR="00770E9C">
        <w:rPr>
          <w:rFonts w:ascii="Cambria" w:hAnsi="Cambria"/>
          <w:sz w:val="24"/>
          <w:szCs w:val="24"/>
        </w:rPr>
        <w:t>odnosno tip dionika na koje se akt odnosi</w:t>
      </w:r>
      <w:r w:rsidR="005A3B63" w:rsidRPr="005A3B63">
        <w:rPr>
          <w:rFonts w:ascii="Cambria" w:hAnsi="Cambria"/>
          <w:sz w:val="24"/>
          <w:szCs w:val="24"/>
        </w:rPr>
        <w:t xml:space="preserve">. </w:t>
      </w:r>
      <w:r w:rsidR="00892C4B">
        <w:rPr>
          <w:rFonts w:ascii="Cambria" w:hAnsi="Cambria"/>
          <w:sz w:val="24"/>
          <w:szCs w:val="24"/>
        </w:rPr>
        <w:t>U L</w:t>
      </w:r>
      <w:r w:rsidR="00770E9C">
        <w:rPr>
          <w:rFonts w:ascii="Cambria" w:hAnsi="Cambria"/>
          <w:sz w:val="24"/>
          <w:szCs w:val="24"/>
        </w:rPr>
        <w:t>itvi se minimalan rok za provedbu savjetovanja može produžiti do 12 dana za kompleksnije akte koji se sastoje od više od 10 stranica</w:t>
      </w:r>
      <w:r w:rsidR="005A3B63" w:rsidRPr="005A3B63">
        <w:rPr>
          <w:rFonts w:ascii="Cambria" w:hAnsi="Cambria"/>
          <w:sz w:val="24"/>
          <w:szCs w:val="24"/>
        </w:rPr>
        <w:t xml:space="preserve">. </w:t>
      </w:r>
      <w:r w:rsidR="00770E9C">
        <w:rPr>
          <w:rFonts w:ascii="Cambria" w:hAnsi="Cambria"/>
          <w:sz w:val="24"/>
          <w:szCs w:val="24"/>
        </w:rPr>
        <w:t>Poljska u procesu savjetovanja razlikuje primarne i sekundarne pravne akte</w:t>
      </w:r>
      <w:r w:rsidR="005A3B63" w:rsidRPr="005A3B63">
        <w:rPr>
          <w:rFonts w:ascii="Cambria" w:hAnsi="Cambria"/>
          <w:sz w:val="24"/>
          <w:szCs w:val="24"/>
        </w:rPr>
        <w:t xml:space="preserve">; </w:t>
      </w:r>
      <w:r w:rsidR="00770E9C">
        <w:rPr>
          <w:rFonts w:ascii="Cambria" w:hAnsi="Cambria"/>
          <w:sz w:val="24"/>
          <w:szCs w:val="24"/>
        </w:rPr>
        <w:t xml:space="preserve">za primarne akte </w:t>
      </w:r>
      <w:r w:rsidR="00892C4B">
        <w:rPr>
          <w:rFonts w:ascii="Cambria" w:hAnsi="Cambria"/>
          <w:sz w:val="24"/>
          <w:szCs w:val="24"/>
        </w:rPr>
        <w:t>minimalan</w:t>
      </w:r>
      <w:r w:rsidR="00770E9C">
        <w:rPr>
          <w:rFonts w:ascii="Cambria" w:hAnsi="Cambria"/>
          <w:sz w:val="24"/>
          <w:szCs w:val="24"/>
        </w:rPr>
        <w:t xml:space="preserve"> je rok od 21 dana savjetovanja dok je za </w:t>
      </w:r>
      <w:r w:rsidR="00892C4B">
        <w:rPr>
          <w:rFonts w:ascii="Cambria" w:hAnsi="Cambria"/>
          <w:sz w:val="24"/>
          <w:szCs w:val="24"/>
        </w:rPr>
        <w:t>sekundarne</w:t>
      </w:r>
      <w:r w:rsidR="00770E9C">
        <w:rPr>
          <w:rFonts w:ascii="Cambria" w:hAnsi="Cambria"/>
          <w:sz w:val="24"/>
          <w:szCs w:val="24"/>
        </w:rPr>
        <w:t xml:space="preserve"> rok od 10 dana</w:t>
      </w:r>
      <w:r w:rsidR="00946193">
        <w:rPr>
          <w:rFonts w:ascii="Cambria" w:hAnsi="Cambria"/>
          <w:sz w:val="24"/>
          <w:szCs w:val="24"/>
        </w:rPr>
        <w:t>.</w:t>
      </w:r>
      <w:r w:rsidR="005A3B63" w:rsidRPr="005A3B63">
        <w:rPr>
          <w:rFonts w:ascii="Cambria" w:hAnsi="Cambria"/>
          <w:sz w:val="24"/>
          <w:szCs w:val="24"/>
        </w:rPr>
        <w:t xml:space="preserve"> </w:t>
      </w:r>
      <w:r w:rsidR="00770E9C">
        <w:rPr>
          <w:rFonts w:ascii="Cambria" w:hAnsi="Cambria"/>
          <w:sz w:val="24"/>
          <w:szCs w:val="24"/>
        </w:rPr>
        <w:t>Također, minimalan rok od 21 dana za zakonske akte može se produžiti do 30 dana ukoliko postoji obveza savjetovanja sa socijalnim partnerima</w:t>
      </w:r>
      <w:r w:rsidR="005A3B63" w:rsidRPr="005A3B63">
        <w:rPr>
          <w:rFonts w:ascii="Cambria" w:hAnsi="Cambria"/>
          <w:sz w:val="24"/>
          <w:szCs w:val="24"/>
        </w:rPr>
        <w:t xml:space="preserve">. </w:t>
      </w:r>
      <w:r w:rsidR="00770E9C">
        <w:rPr>
          <w:rFonts w:ascii="Cambria" w:hAnsi="Cambria"/>
          <w:sz w:val="24"/>
          <w:szCs w:val="24"/>
        </w:rPr>
        <w:t>U Slovač</w:t>
      </w:r>
      <w:r w:rsidR="00892C4B">
        <w:rPr>
          <w:rFonts w:ascii="Cambria" w:hAnsi="Cambria"/>
          <w:sz w:val="24"/>
          <w:szCs w:val="24"/>
        </w:rPr>
        <w:t>koj</w:t>
      </w:r>
      <w:r w:rsidR="005A3B63" w:rsidRPr="005A3B63">
        <w:rPr>
          <w:rFonts w:ascii="Cambria" w:hAnsi="Cambria"/>
          <w:sz w:val="24"/>
          <w:szCs w:val="24"/>
        </w:rPr>
        <w:t xml:space="preserve">, </w:t>
      </w:r>
      <w:r w:rsidR="00892C4B">
        <w:rPr>
          <w:rFonts w:ascii="Cambria" w:hAnsi="Cambria"/>
          <w:sz w:val="24"/>
          <w:szCs w:val="24"/>
        </w:rPr>
        <w:t>minimalan period trajanja savjetovanja od 4 tjedna</w:t>
      </w:r>
      <w:r w:rsidR="005A3B63" w:rsidRPr="005A3B63">
        <w:rPr>
          <w:rFonts w:ascii="Cambria" w:hAnsi="Cambria"/>
          <w:sz w:val="24"/>
          <w:szCs w:val="24"/>
        </w:rPr>
        <w:t xml:space="preserve"> </w:t>
      </w:r>
      <w:r w:rsidR="00892C4B">
        <w:rPr>
          <w:rFonts w:ascii="Cambria" w:hAnsi="Cambria"/>
          <w:sz w:val="24"/>
          <w:szCs w:val="24"/>
        </w:rPr>
        <w:t xml:space="preserve">odnosi se na početnu fazu izrade akta i postupak savjetovanja  s poslovnim sektorom, a može biti skraćen u slučaju dogovora između </w:t>
      </w:r>
      <w:r w:rsidR="00170478">
        <w:rPr>
          <w:rFonts w:ascii="Cambria" w:hAnsi="Cambria"/>
          <w:sz w:val="24"/>
          <w:szCs w:val="24"/>
        </w:rPr>
        <w:t xml:space="preserve">zakonodavca </w:t>
      </w:r>
      <w:r w:rsidR="00892C4B">
        <w:rPr>
          <w:rFonts w:ascii="Cambria" w:hAnsi="Cambria"/>
          <w:sz w:val="24"/>
          <w:szCs w:val="24"/>
        </w:rPr>
        <w:t>i konzultiranih strana</w:t>
      </w:r>
      <w:r w:rsidR="005A3B63" w:rsidRPr="005A3B63">
        <w:rPr>
          <w:rFonts w:ascii="Cambria" w:hAnsi="Cambria"/>
          <w:sz w:val="24"/>
          <w:szCs w:val="24"/>
        </w:rPr>
        <w:t>.</w:t>
      </w:r>
      <w:r w:rsidR="00D41A44">
        <w:rPr>
          <w:rFonts w:ascii="Cambria" w:hAnsi="Cambria"/>
          <w:sz w:val="24"/>
          <w:szCs w:val="24"/>
        </w:rPr>
        <w:t xml:space="preserve"> S druge strane u Švedskoj</w:t>
      </w:r>
      <w:r w:rsidR="000806A0">
        <w:rPr>
          <w:rFonts w:ascii="Cambria" w:hAnsi="Cambria"/>
          <w:sz w:val="24"/>
          <w:szCs w:val="24"/>
        </w:rPr>
        <w:t>,</w:t>
      </w:r>
      <w:r w:rsidR="00D41A44">
        <w:rPr>
          <w:rFonts w:ascii="Cambria" w:hAnsi="Cambria"/>
          <w:sz w:val="24"/>
          <w:szCs w:val="24"/>
        </w:rPr>
        <w:t xml:space="preserve"> </w:t>
      </w:r>
      <w:r w:rsidR="000037B9">
        <w:rPr>
          <w:rFonts w:ascii="Cambria" w:hAnsi="Cambria"/>
          <w:sz w:val="24"/>
          <w:szCs w:val="24"/>
        </w:rPr>
        <w:t xml:space="preserve">minimalan </w:t>
      </w:r>
      <w:r w:rsidR="00D41A44">
        <w:rPr>
          <w:rFonts w:ascii="Cambria" w:hAnsi="Cambria"/>
          <w:sz w:val="24"/>
          <w:szCs w:val="24"/>
        </w:rPr>
        <w:t>obvezni period trajanja savjetovanja je 12 tjedana.</w:t>
      </w:r>
    </w:p>
    <w:p w14:paraId="5E9077CD" w14:textId="014EACC2" w:rsidR="00650040" w:rsidRDefault="00650040" w:rsidP="0046680F">
      <w:pPr>
        <w:pStyle w:val="Heading2"/>
        <w:spacing w:after="120"/>
      </w:pPr>
      <w:bookmarkStart w:id="16" w:name="_Toc4076875"/>
      <w:r w:rsidRPr="00AB758C">
        <w:t>4.</w:t>
      </w:r>
      <w:r w:rsidR="0046680F">
        <w:t>6</w:t>
      </w:r>
      <w:r w:rsidRPr="00AB758C">
        <w:t>. Podnositelji komentara</w:t>
      </w:r>
      <w:bookmarkEnd w:id="16"/>
    </w:p>
    <w:p w14:paraId="6750DA46" w14:textId="59699352" w:rsidR="002C1D70" w:rsidRDefault="002C1D70" w:rsidP="00BB6483">
      <w:pPr>
        <w:jc w:val="both"/>
        <w:rPr>
          <w:rFonts w:ascii="Cambria" w:hAnsi="Cambria"/>
          <w:sz w:val="24"/>
          <w:szCs w:val="24"/>
        </w:rPr>
      </w:pPr>
      <w:r w:rsidRPr="002C1D70">
        <w:rPr>
          <w:rFonts w:ascii="Cambria" w:hAnsi="Cambria"/>
          <w:sz w:val="24"/>
          <w:szCs w:val="24"/>
        </w:rPr>
        <w:t>Tijekom 201</w:t>
      </w:r>
      <w:r>
        <w:rPr>
          <w:rFonts w:ascii="Cambria" w:hAnsi="Cambria"/>
          <w:sz w:val="24"/>
          <w:szCs w:val="24"/>
        </w:rPr>
        <w:t>8</w:t>
      </w:r>
      <w:r w:rsidRPr="002C1D70">
        <w:rPr>
          <w:rFonts w:ascii="Cambria" w:hAnsi="Cambria"/>
          <w:sz w:val="24"/>
          <w:szCs w:val="24"/>
        </w:rPr>
        <w:t>. godine</w:t>
      </w:r>
      <w:r w:rsidR="00946193">
        <w:rPr>
          <w:rFonts w:ascii="Cambria" w:hAnsi="Cambria"/>
          <w:sz w:val="24"/>
          <w:szCs w:val="24"/>
        </w:rPr>
        <w:t>,</w:t>
      </w:r>
      <w:r w:rsidRPr="002C1D70">
        <w:rPr>
          <w:rFonts w:ascii="Cambria" w:hAnsi="Cambria"/>
          <w:sz w:val="24"/>
          <w:szCs w:val="24"/>
        </w:rPr>
        <w:t xml:space="preserve"> u postupcima savjetovanja sa zainteresiranom javnošću sudjelovalo je ukupno </w:t>
      </w:r>
      <w:r>
        <w:rPr>
          <w:rFonts w:ascii="Cambria" w:hAnsi="Cambria"/>
          <w:sz w:val="24"/>
          <w:szCs w:val="24"/>
        </w:rPr>
        <w:t>4.712</w:t>
      </w:r>
      <w:r w:rsidRPr="002C1D70">
        <w:rPr>
          <w:rFonts w:ascii="Cambria" w:hAnsi="Cambria"/>
          <w:sz w:val="24"/>
          <w:szCs w:val="24"/>
        </w:rPr>
        <w:t xml:space="preserve"> pravnih i fizičkih osoba koje su dostavile komentar/e na nacrt</w:t>
      </w:r>
      <w:r w:rsidR="00946193">
        <w:rPr>
          <w:rFonts w:ascii="Cambria" w:hAnsi="Cambria"/>
          <w:sz w:val="24"/>
          <w:szCs w:val="24"/>
        </w:rPr>
        <w:t>e</w:t>
      </w:r>
      <w:r w:rsidRPr="002C1D70">
        <w:rPr>
          <w:rFonts w:ascii="Cambria" w:hAnsi="Cambria"/>
          <w:sz w:val="24"/>
          <w:szCs w:val="24"/>
        </w:rPr>
        <w:t xml:space="preserve"> zakona, </w:t>
      </w:r>
      <w:r w:rsidR="00946193" w:rsidRPr="002C1D70">
        <w:rPr>
          <w:rFonts w:ascii="Cambria" w:hAnsi="Cambria"/>
          <w:sz w:val="24"/>
          <w:szCs w:val="24"/>
        </w:rPr>
        <w:t>drug</w:t>
      </w:r>
      <w:r w:rsidR="00946193">
        <w:rPr>
          <w:rFonts w:ascii="Cambria" w:hAnsi="Cambria"/>
          <w:sz w:val="24"/>
          <w:szCs w:val="24"/>
        </w:rPr>
        <w:t>ih</w:t>
      </w:r>
      <w:r w:rsidR="00946193" w:rsidRPr="002C1D70">
        <w:rPr>
          <w:rFonts w:ascii="Cambria" w:hAnsi="Cambria"/>
          <w:sz w:val="24"/>
          <w:szCs w:val="24"/>
        </w:rPr>
        <w:t xml:space="preserve"> </w:t>
      </w:r>
      <w:r w:rsidRPr="002C1D70">
        <w:rPr>
          <w:rFonts w:ascii="Cambria" w:hAnsi="Cambria"/>
          <w:sz w:val="24"/>
          <w:szCs w:val="24"/>
        </w:rPr>
        <w:t>propisa ili ak</w:t>
      </w:r>
      <w:r w:rsidR="00946193">
        <w:rPr>
          <w:rFonts w:ascii="Cambria" w:hAnsi="Cambria"/>
          <w:sz w:val="24"/>
          <w:szCs w:val="24"/>
        </w:rPr>
        <w:t>a</w:t>
      </w:r>
      <w:r w:rsidRPr="002C1D70">
        <w:rPr>
          <w:rFonts w:ascii="Cambria" w:hAnsi="Cambria"/>
          <w:sz w:val="24"/>
          <w:szCs w:val="24"/>
        </w:rPr>
        <w:t xml:space="preserve">ta </w:t>
      </w:r>
      <w:r w:rsidR="00946193" w:rsidRPr="002C1D70">
        <w:rPr>
          <w:rFonts w:ascii="Cambria" w:hAnsi="Cambria"/>
          <w:sz w:val="24"/>
          <w:szCs w:val="24"/>
        </w:rPr>
        <w:t>nadležn</w:t>
      </w:r>
      <w:r w:rsidR="00946193">
        <w:rPr>
          <w:rFonts w:ascii="Cambria" w:hAnsi="Cambria"/>
          <w:sz w:val="24"/>
          <w:szCs w:val="24"/>
        </w:rPr>
        <w:t>i</w:t>
      </w:r>
      <w:r w:rsidR="00946193" w:rsidRPr="002C1D70">
        <w:rPr>
          <w:rFonts w:ascii="Cambria" w:hAnsi="Cambria"/>
          <w:sz w:val="24"/>
          <w:szCs w:val="24"/>
        </w:rPr>
        <w:t>m državn</w:t>
      </w:r>
      <w:r w:rsidR="00946193">
        <w:rPr>
          <w:rFonts w:ascii="Cambria" w:hAnsi="Cambria"/>
          <w:sz w:val="24"/>
          <w:szCs w:val="24"/>
        </w:rPr>
        <w:t>i</w:t>
      </w:r>
      <w:r w:rsidR="00946193" w:rsidRPr="002C1D70">
        <w:rPr>
          <w:rFonts w:ascii="Cambria" w:hAnsi="Cambria"/>
          <w:sz w:val="24"/>
          <w:szCs w:val="24"/>
        </w:rPr>
        <w:t xml:space="preserve">m </w:t>
      </w:r>
      <w:r w:rsidRPr="002C1D70">
        <w:rPr>
          <w:rFonts w:ascii="Cambria" w:hAnsi="Cambria"/>
          <w:sz w:val="24"/>
          <w:szCs w:val="24"/>
        </w:rPr>
        <w:t>tijel</w:t>
      </w:r>
      <w:r w:rsidR="00946193">
        <w:rPr>
          <w:rFonts w:ascii="Cambria" w:hAnsi="Cambria"/>
          <w:sz w:val="24"/>
          <w:szCs w:val="24"/>
        </w:rPr>
        <w:t>ima</w:t>
      </w:r>
      <w:r w:rsidRPr="002C1D70">
        <w:rPr>
          <w:rFonts w:ascii="Cambria" w:hAnsi="Cambria"/>
          <w:sz w:val="24"/>
          <w:szCs w:val="24"/>
        </w:rPr>
        <w:t>.</w:t>
      </w:r>
    </w:p>
    <w:p w14:paraId="23D2915D" w14:textId="77777777" w:rsidR="002C1D70" w:rsidRDefault="002C1D70" w:rsidP="00BB6483">
      <w:pPr>
        <w:jc w:val="both"/>
        <w:rPr>
          <w:rFonts w:ascii="Cambria" w:hAnsi="Cambria"/>
          <w:sz w:val="24"/>
          <w:szCs w:val="24"/>
        </w:rPr>
      </w:pPr>
      <w:r w:rsidRPr="002C1D70">
        <w:rPr>
          <w:rFonts w:ascii="Cambria" w:hAnsi="Cambria"/>
          <w:sz w:val="24"/>
          <w:szCs w:val="24"/>
        </w:rPr>
        <w:t xml:space="preserve">Najveći broj podnositelja, čak njih </w:t>
      </w:r>
      <w:r>
        <w:rPr>
          <w:rFonts w:ascii="Cambria" w:hAnsi="Cambria"/>
          <w:sz w:val="24"/>
          <w:szCs w:val="24"/>
        </w:rPr>
        <w:t>3.468</w:t>
      </w:r>
      <w:r w:rsidRPr="002C1D70">
        <w:rPr>
          <w:rFonts w:ascii="Cambria" w:hAnsi="Cambria"/>
          <w:sz w:val="24"/>
          <w:szCs w:val="24"/>
        </w:rPr>
        <w:t xml:space="preserve"> bili su pojedinci. Podnositelji komentara bile su i udruge (42</w:t>
      </w:r>
      <w:r>
        <w:rPr>
          <w:rFonts w:ascii="Cambria" w:hAnsi="Cambria"/>
          <w:sz w:val="24"/>
          <w:szCs w:val="24"/>
        </w:rPr>
        <w:t>7</w:t>
      </w:r>
      <w:r w:rsidRPr="002C1D70">
        <w:rPr>
          <w:rFonts w:ascii="Cambria" w:hAnsi="Cambria"/>
          <w:sz w:val="24"/>
          <w:szCs w:val="24"/>
        </w:rPr>
        <w:t>), trgovačka društva (3</w:t>
      </w:r>
      <w:r>
        <w:rPr>
          <w:rFonts w:ascii="Cambria" w:hAnsi="Cambria"/>
          <w:sz w:val="24"/>
          <w:szCs w:val="24"/>
        </w:rPr>
        <w:t>73</w:t>
      </w:r>
      <w:r w:rsidRPr="002C1D70">
        <w:rPr>
          <w:rFonts w:ascii="Cambria" w:hAnsi="Cambria"/>
          <w:sz w:val="24"/>
          <w:szCs w:val="24"/>
        </w:rPr>
        <w:t>), ustanove (1</w:t>
      </w:r>
      <w:r>
        <w:rPr>
          <w:rFonts w:ascii="Cambria" w:hAnsi="Cambria"/>
          <w:sz w:val="24"/>
          <w:szCs w:val="24"/>
        </w:rPr>
        <w:t>61</w:t>
      </w:r>
      <w:r w:rsidRPr="002C1D70">
        <w:rPr>
          <w:rFonts w:ascii="Cambria" w:hAnsi="Cambria"/>
          <w:sz w:val="24"/>
          <w:szCs w:val="24"/>
        </w:rPr>
        <w:t>), jedinice lokalne i područne samouprave (</w:t>
      </w:r>
      <w:r>
        <w:rPr>
          <w:rFonts w:ascii="Cambria" w:hAnsi="Cambria"/>
          <w:sz w:val="24"/>
          <w:szCs w:val="24"/>
        </w:rPr>
        <w:t>79</w:t>
      </w:r>
      <w:r w:rsidRPr="002C1D70">
        <w:rPr>
          <w:rFonts w:ascii="Cambria" w:hAnsi="Cambria"/>
          <w:sz w:val="24"/>
          <w:szCs w:val="24"/>
        </w:rPr>
        <w:t xml:space="preserve">), </w:t>
      </w:r>
      <w:r>
        <w:rPr>
          <w:rFonts w:ascii="Cambria" w:hAnsi="Cambria"/>
          <w:sz w:val="24"/>
          <w:szCs w:val="24"/>
        </w:rPr>
        <w:t>akademska zajednica</w:t>
      </w:r>
      <w:r w:rsidRPr="002C1D70">
        <w:rPr>
          <w:rFonts w:ascii="Cambria" w:hAnsi="Cambria"/>
          <w:sz w:val="24"/>
          <w:szCs w:val="24"/>
        </w:rPr>
        <w:t xml:space="preserve"> (</w:t>
      </w:r>
      <w:r>
        <w:rPr>
          <w:rFonts w:ascii="Cambria" w:hAnsi="Cambria"/>
          <w:sz w:val="24"/>
          <w:szCs w:val="24"/>
        </w:rPr>
        <w:t>35</w:t>
      </w:r>
      <w:r w:rsidRPr="002C1D70">
        <w:rPr>
          <w:rFonts w:ascii="Cambria" w:hAnsi="Cambria"/>
          <w:sz w:val="24"/>
          <w:szCs w:val="24"/>
        </w:rPr>
        <w:t>) te brojne druge pravne osobe.</w:t>
      </w:r>
    </w:p>
    <w:p w14:paraId="2EA9F13E" w14:textId="51E09F04" w:rsidR="00FB0D46" w:rsidRPr="00FB0D46" w:rsidRDefault="00DE31CA" w:rsidP="00BB6483">
      <w:pPr>
        <w:jc w:val="both"/>
        <w:rPr>
          <w:rFonts w:ascii="Cambria" w:hAnsi="Cambria"/>
          <w:b/>
        </w:rPr>
      </w:pPr>
      <w:r w:rsidRPr="00131432">
        <w:rPr>
          <w:rFonts w:asciiTheme="majorHAnsi" w:hAnsiTheme="majorHAnsi" w:cstheme="minorHAnsi"/>
          <w:noProof/>
          <w:sz w:val="24"/>
          <w:szCs w:val="24"/>
          <w:lang w:eastAsia="hr-HR"/>
        </w:rPr>
        <w:lastRenderedPageBreak/>
        <w:drawing>
          <wp:anchor distT="0" distB="0" distL="114300" distR="114300" simplePos="0" relativeHeight="251661312" behindDoc="0" locked="0" layoutInCell="1" allowOverlap="1" wp14:anchorId="44BE9372" wp14:editId="34FC96EB">
            <wp:simplePos x="0" y="0"/>
            <wp:positionH relativeFrom="margin">
              <wp:posOffset>0</wp:posOffset>
            </wp:positionH>
            <wp:positionV relativeFrom="paragraph">
              <wp:posOffset>259080</wp:posOffset>
            </wp:positionV>
            <wp:extent cx="5949950" cy="3793490"/>
            <wp:effectExtent l="57150" t="19050" r="50800" b="92710"/>
            <wp:wrapSquare wrapText="bothSides"/>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FB0D46" w:rsidRPr="00FB0D46">
        <w:rPr>
          <w:rFonts w:ascii="Cambria" w:hAnsi="Cambria"/>
          <w:b/>
        </w:rPr>
        <w:t>Grafički prikaz 6.: Struktura podnositelja komentara</w:t>
      </w:r>
      <w:r w:rsidR="00FB0D46" w:rsidRPr="00FB0D46">
        <w:rPr>
          <w:rFonts w:ascii="Cambria" w:hAnsi="Cambria"/>
          <w:b/>
        </w:rPr>
        <w:cr/>
      </w:r>
    </w:p>
    <w:p w14:paraId="4898A7D9" w14:textId="5FFC8B66" w:rsidR="00BB6483" w:rsidRDefault="00BB6483" w:rsidP="00BB6483">
      <w:pPr>
        <w:jc w:val="both"/>
        <w:rPr>
          <w:rFonts w:ascii="Cambria" w:hAnsi="Cambria"/>
          <w:sz w:val="24"/>
          <w:szCs w:val="24"/>
        </w:rPr>
      </w:pPr>
      <w:r w:rsidRPr="00BB6483">
        <w:rPr>
          <w:rFonts w:ascii="Cambria" w:hAnsi="Cambria"/>
          <w:sz w:val="24"/>
          <w:szCs w:val="24"/>
        </w:rPr>
        <w:t xml:space="preserve">Iz dostupnih podataka vidljivo je </w:t>
      </w:r>
      <w:r>
        <w:rPr>
          <w:rFonts w:ascii="Cambria" w:hAnsi="Cambria"/>
          <w:sz w:val="24"/>
          <w:szCs w:val="24"/>
        </w:rPr>
        <w:t>smanjenje</w:t>
      </w:r>
      <w:r w:rsidRPr="00BB6483">
        <w:rPr>
          <w:rFonts w:ascii="Cambria" w:hAnsi="Cambria"/>
          <w:sz w:val="24"/>
          <w:szCs w:val="24"/>
        </w:rPr>
        <w:t xml:space="preserve"> broja komentatora u odnosu na 201</w:t>
      </w:r>
      <w:r>
        <w:rPr>
          <w:rFonts w:ascii="Cambria" w:hAnsi="Cambria"/>
          <w:sz w:val="24"/>
          <w:szCs w:val="24"/>
        </w:rPr>
        <w:t>7</w:t>
      </w:r>
      <w:r w:rsidRPr="00BB6483">
        <w:rPr>
          <w:rFonts w:ascii="Cambria" w:hAnsi="Cambria"/>
          <w:sz w:val="24"/>
          <w:szCs w:val="24"/>
        </w:rPr>
        <w:t xml:space="preserve">., </w:t>
      </w:r>
      <w:r>
        <w:rPr>
          <w:rFonts w:ascii="Cambria" w:hAnsi="Cambria"/>
          <w:sz w:val="24"/>
          <w:szCs w:val="24"/>
        </w:rPr>
        <w:t>no</w:t>
      </w:r>
      <w:r w:rsidRPr="00BB6483">
        <w:rPr>
          <w:rFonts w:ascii="Cambria" w:hAnsi="Cambria"/>
          <w:sz w:val="24"/>
          <w:szCs w:val="24"/>
        </w:rPr>
        <w:t xml:space="preserve"> broj pravnih i fizičkih osoba koje su sudjelovale u savjetovanjima </w:t>
      </w:r>
      <w:r>
        <w:rPr>
          <w:rFonts w:ascii="Cambria" w:hAnsi="Cambria"/>
          <w:sz w:val="24"/>
          <w:szCs w:val="24"/>
        </w:rPr>
        <w:t>na sličnoj je razini u posljednj</w:t>
      </w:r>
      <w:r w:rsidR="009F5494">
        <w:rPr>
          <w:rFonts w:ascii="Cambria" w:hAnsi="Cambria"/>
          <w:sz w:val="24"/>
          <w:szCs w:val="24"/>
        </w:rPr>
        <w:t>e</w:t>
      </w:r>
      <w:r>
        <w:rPr>
          <w:rFonts w:ascii="Cambria" w:hAnsi="Cambria"/>
          <w:sz w:val="24"/>
          <w:szCs w:val="24"/>
        </w:rPr>
        <w:t xml:space="preserve"> </w:t>
      </w:r>
      <w:r w:rsidR="009F5494">
        <w:rPr>
          <w:rFonts w:ascii="Cambria" w:hAnsi="Cambria"/>
          <w:sz w:val="24"/>
          <w:szCs w:val="24"/>
        </w:rPr>
        <w:t xml:space="preserve">četiri  </w:t>
      </w:r>
      <w:r>
        <w:rPr>
          <w:rFonts w:ascii="Cambria" w:hAnsi="Cambria"/>
          <w:sz w:val="24"/>
          <w:szCs w:val="24"/>
        </w:rPr>
        <w:t>godin</w:t>
      </w:r>
      <w:r w:rsidR="009F5494">
        <w:rPr>
          <w:rFonts w:ascii="Cambria" w:hAnsi="Cambria"/>
          <w:sz w:val="24"/>
          <w:szCs w:val="24"/>
        </w:rPr>
        <w:t>e</w:t>
      </w:r>
      <w:r w:rsidR="00D41A44">
        <w:rPr>
          <w:rFonts w:ascii="Cambria" w:hAnsi="Cambria"/>
          <w:sz w:val="24"/>
          <w:szCs w:val="24"/>
        </w:rPr>
        <w:t xml:space="preserve">, pri čemu raspon varira </w:t>
      </w:r>
      <w:r>
        <w:rPr>
          <w:rFonts w:ascii="Cambria" w:hAnsi="Cambria"/>
          <w:sz w:val="24"/>
          <w:szCs w:val="24"/>
        </w:rPr>
        <w:t xml:space="preserve">između 4.000 i </w:t>
      </w:r>
      <w:r w:rsidR="009F5494">
        <w:rPr>
          <w:rFonts w:ascii="Cambria" w:hAnsi="Cambria"/>
          <w:sz w:val="24"/>
          <w:szCs w:val="24"/>
        </w:rPr>
        <w:t xml:space="preserve">gotovo </w:t>
      </w:r>
      <w:r>
        <w:rPr>
          <w:rFonts w:ascii="Cambria" w:hAnsi="Cambria"/>
          <w:sz w:val="24"/>
          <w:szCs w:val="24"/>
        </w:rPr>
        <w:t>6.000 komentatora.</w:t>
      </w:r>
    </w:p>
    <w:p w14:paraId="069842CD" w14:textId="767CA556" w:rsidR="00FB0D46" w:rsidRDefault="00FB0D46" w:rsidP="00BB6483">
      <w:pPr>
        <w:jc w:val="both"/>
        <w:rPr>
          <w:rFonts w:ascii="Cambria" w:hAnsi="Cambria"/>
          <w:b/>
        </w:rPr>
      </w:pPr>
      <w:r w:rsidRPr="00FB0D46">
        <w:rPr>
          <w:rFonts w:ascii="Cambria" w:hAnsi="Cambria"/>
          <w:b/>
        </w:rPr>
        <w:t>Grafički prikaz 7.: Broj podnositelja komentara od 2012. do 201</w:t>
      </w:r>
      <w:r>
        <w:rPr>
          <w:rFonts w:ascii="Cambria" w:hAnsi="Cambria"/>
          <w:b/>
        </w:rPr>
        <w:t>8</w:t>
      </w:r>
      <w:r w:rsidRPr="00FB0D46">
        <w:rPr>
          <w:rFonts w:ascii="Cambria" w:hAnsi="Cambria"/>
          <w:b/>
        </w:rPr>
        <w:t>. godine</w:t>
      </w:r>
      <w:r w:rsidRPr="00131432">
        <w:rPr>
          <w:noProof/>
          <w:lang w:eastAsia="hr-HR"/>
        </w:rPr>
        <w:drawing>
          <wp:inline distT="0" distB="0" distL="0" distR="0" wp14:anchorId="3D5CC705" wp14:editId="2B4BF2AB">
            <wp:extent cx="5943600" cy="2679700"/>
            <wp:effectExtent l="57150" t="19050" r="57150" b="1016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A4756F7" w14:textId="77777777" w:rsidR="00FB0D46" w:rsidRPr="00FB0D46" w:rsidRDefault="00FB0D46" w:rsidP="00BB6483">
      <w:pPr>
        <w:jc w:val="both"/>
        <w:rPr>
          <w:rFonts w:ascii="Cambria" w:hAnsi="Cambria"/>
          <w:b/>
        </w:rPr>
      </w:pPr>
    </w:p>
    <w:p w14:paraId="3DE006D1" w14:textId="2DA0A32E" w:rsidR="00BB6483" w:rsidRDefault="00BB6483" w:rsidP="00BB6483">
      <w:pPr>
        <w:jc w:val="both"/>
        <w:rPr>
          <w:rFonts w:ascii="Cambria" w:hAnsi="Cambria"/>
          <w:sz w:val="24"/>
          <w:szCs w:val="24"/>
        </w:rPr>
      </w:pPr>
      <w:r w:rsidRPr="00BB6483">
        <w:rPr>
          <w:rFonts w:ascii="Cambria" w:hAnsi="Cambria"/>
          <w:sz w:val="24"/>
          <w:szCs w:val="24"/>
        </w:rPr>
        <w:t>Konstantan</w:t>
      </w:r>
      <w:r>
        <w:rPr>
          <w:rFonts w:ascii="Cambria" w:hAnsi="Cambria"/>
          <w:sz w:val="24"/>
          <w:szCs w:val="24"/>
        </w:rPr>
        <w:t xml:space="preserve"> je</w:t>
      </w:r>
      <w:r w:rsidRPr="00BB6483">
        <w:rPr>
          <w:rFonts w:ascii="Cambria" w:hAnsi="Cambria"/>
          <w:sz w:val="24"/>
          <w:szCs w:val="24"/>
        </w:rPr>
        <w:t xml:space="preserve"> rast broja registriranih korisnika e-Savjetovanja kojih je na dan </w:t>
      </w:r>
      <w:r>
        <w:rPr>
          <w:rFonts w:ascii="Cambria" w:hAnsi="Cambria"/>
          <w:sz w:val="24"/>
          <w:szCs w:val="24"/>
        </w:rPr>
        <w:t>11</w:t>
      </w:r>
      <w:r w:rsidRPr="00BB6483">
        <w:rPr>
          <w:rFonts w:ascii="Cambria" w:hAnsi="Cambria"/>
          <w:sz w:val="24"/>
          <w:szCs w:val="24"/>
        </w:rPr>
        <w:t>. ožujka 201</w:t>
      </w:r>
      <w:r>
        <w:rPr>
          <w:rFonts w:ascii="Cambria" w:hAnsi="Cambria"/>
          <w:sz w:val="24"/>
          <w:szCs w:val="24"/>
        </w:rPr>
        <w:t>9</w:t>
      </w:r>
      <w:r w:rsidRPr="00BB6483">
        <w:rPr>
          <w:rFonts w:ascii="Cambria" w:hAnsi="Cambria"/>
          <w:sz w:val="24"/>
          <w:szCs w:val="24"/>
        </w:rPr>
        <w:t xml:space="preserve">. bilo </w:t>
      </w:r>
      <w:r w:rsidR="00DC69FD">
        <w:rPr>
          <w:rFonts w:ascii="Cambria" w:hAnsi="Cambria"/>
          <w:sz w:val="24"/>
          <w:szCs w:val="24"/>
        </w:rPr>
        <w:t>23.240</w:t>
      </w:r>
      <w:r w:rsidR="003D0115">
        <w:rPr>
          <w:rFonts w:ascii="Cambria" w:hAnsi="Cambria"/>
          <w:sz w:val="24"/>
          <w:szCs w:val="24"/>
        </w:rPr>
        <w:t>,</w:t>
      </w:r>
      <w:r w:rsidR="00DC69FD">
        <w:rPr>
          <w:rFonts w:ascii="Cambria" w:hAnsi="Cambria"/>
          <w:sz w:val="24"/>
          <w:szCs w:val="24"/>
        </w:rPr>
        <w:t xml:space="preserve"> </w:t>
      </w:r>
      <w:r w:rsidR="003D0115">
        <w:rPr>
          <w:rFonts w:ascii="Cambria" w:hAnsi="Cambria"/>
          <w:sz w:val="24"/>
          <w:szCs w:val="24"/>
        </w:rPr>
        <w:t xml:space="preserve">pri čemu je </w:t>
      </w:r>
      <w:r w:rsidR="000314DC">
        <w:rPr>
          <w:rFonts w:ascii="Cambria" w:hAnsi="Cambria"/>
          <w:sz w:val="24"/>
          <w:szCs w:val="24"/>
        </w:rPr>
        <w:t>broj korisnika povećan za više od 7.000 u odnosu na</w:t>
      </w:r>
      <w:r w:rsidR="003D0115">
        <w:rPr>
          <w:rFonts w:ascii="Cambria" w:hAnsi="Cambria"/>
          <w:sz w:val="24"/>
          <w:szCs w:val="24"/>
        </w:rPr>
        <w:t xml:space="preserve"> isto razdoblje 2017.,</w:t>
      </w:r>
      <w:r w:rsidR="000314DC">
        <w:rPr>
          <w:rFonts w:ascii="Cambria" w:hAnsi="Cambria"/>
          <w:sz w:val="24"/>
          <w:szCs w:val="24"/>
        </w:rPr>
        <w:t xml:space="preserve"> </w:t>
      </w:r>
      <w:r w:rsidR="00DC69FD">
        <w:rPr>
          <w:rFonts w:ascii="Cambria" w:hAnsi="Cambria"/>
          <w:sz w:val="24"/>
          <w:szCs w:val="24"/>
        </w:rPr>
        <w:t xml:space="preserve">što </w:t>
      </w:r>
      <w:r w:rsidRPr="00BB6483">
        <w:rPr>
          <w:rFonts w:ascii="Cambria" w:hAnsi="Cambria"/>
          <w:sz w:val="24"/>
          <w:szCs w:val="24"/>
        </w:rPr>
        <w:t>upućuje na jasan interes javnosti za uključivanje u savjetovanja</w:t>
      </w:r>
      <w:r w:rsidR="00DC69FD">
        <w:rPr>
          <w:rFonts w:ascii="Cambria" w:hAnsi="Cambria"/>
          <w:sz w:val="24"/>
          <w:szCs w:val="24"/>
        </w:rPr>
        <w:t>.</w:t>
      </w:r>
    </w:p>
    <w:p w14:paraId="4A65BE50" w14:textId="7162B3B1" w:rsidR="009F5494" w:rsidRPr="002C1D70" w:rsidRDefault="002541F2" w:rsidP="00BB6483">
      <w:pPr>
        <w:jc w:val="both"/>
        <w:rPr>
          <w:rFonts w:ascii="Cambria" w:hAnsi="Cambria"/>
          <w:sz w:val="24"/>
          <w:szCs w:val="24"/>
        </w:rPr>
      </w:pPr>
      <w:r>
        <w:rPr>
          <w:rFonts w:ascii="Cambria" w:hAnsi="Cambria"/>
          <w:sz w:val="24"/>
          <w:szCs w:val="24"/>
        </w:rPr>
        <w:t xml:space="preserve">Distribucija broja komentara po županijama uglavnom odgovara broju registriranih podnositelja komentara u županijama. </w:t>
      </w:r>
    </w:p>
    <w:p w14:paraId="56724588" w14:textId="47571BB2" w:rsidR="00F41BE3" w:rsidRPr="00DC69FD" w:rsidRDefault="00DC69FD">
      <w:pPr>
        <w:rPr>
          <w:rFonts w:ascii="Cambria" w:hAnsi="Cambria"/>
          <w:b/>
          <w:sz w:val="24"/>
          <w:szCs w:val="24"/>
        </w:rPr>
      </w:pPr>
      <w:r w:rsidRPr="009F5494">
        <w:rPr>
          <w:rFonts w:ascii="Cambria" w:hAnsi="Cambria"/>
          <w:b/>
        </w:rPr>
        <w:t>Tablica 2.: Broj podnositelja komentara po županijama</w:t>
      </w:r>
      <w:r>
        <w:rPr>
          <w:rStyle w:val="FootnoteReference"/>
          <w:rFonts w:ascii="Cambria" w:hAnsi="Cambria"/>
          <w:b/>
          <w:sz w:val="24"/>
          <w:szCs w:val="24"/>
        </w:rPr>
        <w:footnoteReference w:id="8"/>
      </w:r>
    </w:p>
    <w:tbl>
      <w:tblPr>
        <w:tblStyle w:val="GridTable6Colorful-Accent1"/>
        <w:tblW w:w="8280" w:type="dxa"/>
        <w:jc w:val="center"/>
        <w:tblLook w:val="04A0" w:firstRow="1" w:lastRow="0" w:firstColumn="1" w:lastColumn="0" w:noHBand="0" w:noVBand="1"/>
      </w:tblPr>
      <w:tblGrid>
        <w:gridCol w:w="3964"/>
        <w:gridCol w:w="2268"/>
        <w:gridCol w:w="2048"/>
      </w:tblGrid>
      <w:tr w:rsidR="00F41BE3" w:rsidRPr="00F36EDD" w14:paraId="32AD2DF5" w14:textId="77777777" w:rsidTr="001362A5">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964" w:type="dxa"/>
            <w:noWrap/>
            <w:hideMark/>
          </w:tcPr>
          <w:p w14:paraId="78E268CA" w14:textId="77777777" w:rsidR="00F41BE3" w:rsidRPr="009F5494" w:rsidRDefault="00F41BE3" w:rsidP="001362A5">
            <w:pPr>
              <w:jc w:val="center"/>
              <w:rPr>
                <w:rFonts w:eastAsia="Times New Roman" w:cs="Times New Roman"/>
                <w:color w:val="000000"/>
                <w:sz w:val="24"/>
                <w:szCs w:val="24"/>
                <w:lang w:eastAsia="hr-HR"/>
              </w:rPr>
            </w:pPr>
            <w:r w:rsidRPr="009F5494">
              <w:rPr>
                <w:rFonts w:eastAsia="Times New Roman" w:cs="Times New Roman"/>
                <w:color w:val="000000"/>
                <w:sz w:val="24"/>
                <w:szCs w:val="24"/>
                <w:lang w:eastAsia="hr-HR"/>
              </w:rPr>
              <w:t>Županija</w:t>
            </w:r>
          </w:p>
        </w:tc>
        <w:tc>
          <w:tcPr>
            <w:tcW w:w="2268" w:type="dxa"/>
            <w:hideMark/>
          </w:tcPr>
          <w:p w14:paraId="20DB0D4A" w14:textId="77777777" w:rsidR="00F41BE3" w:rsidRPr="009F5494" w:rsidRDefault="00F41BE3" w:rsidP="001362A5">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hr-HR"/>
              </w:rPr>
            </w:pPr>
            <w:r w:rsidRPr="009F5494">
              <w:rPr>
                <w:rFonts w:eastAsia="Times New Roman" w:cs="Times New Roman"/>
                <w:color w:val="000000"/>
                <w:sz w:val="24"/>
                <w:szCs w:val="24"/>
                <w:lang w:eastAsia="hr-HR"/>
              </w:rPr>
              <w:t>Broj podnositelja komentara</w:t>
            </w:r>
          </w:p>
        </w:tc>
        <w:tc>
          <w:tcPr>
            <w:tcW w:w="2048" w:type="dxa"/>
            <w:hideMark/>
          </w:tcPr>
          <w:p w14:paraId="0E9985C2" w14:textId="77777777" w:rsidR="00F41BE3" w:rsidRPr="009F5494" w:rsidRDefault="00F41BE3" w:rsidP="001362A5">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hr-HR"/>
              </w:rPr>
            </w:pPr>
            <w:r w:rsidRPr="009F5494">
              <w:rPr>
                <w:rFonts w:eastAsia="Times New Roman" w:cs="Times New Roman"/>
                <w:color w:val="000000"/>
                <w:sz w:val="24"/>
                <w:szCs w:val="24"/>
                <w:lang w:eastAsia="hr-HR"/>
              </w:rPr>
              <w:t>Broj komentara</w:t>
            </w:r>
          </w:p>
        </w:tc>
      </w:tr>
      <w:tr w:rsidR="00F84F9A" w:rsidRPr="00F36EDD" w14:paraId="77747D85" w14:textId="77777777" w:rsidTr="009F549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964" w:type="dxa"/>
            <w:noWrap/>
            <w:hideMark/>
          </w:tcPr>
          <w:p w14:paraId="2B57F60D" w14:textId="77777777" w:rsidR="00F84F9A" w:rsidRPr="009F5494" w:rsidRDefault="00F84F9A" w:rsidP="001362A5">
            <w:pPr>
              <w:rPr>
                <w:rFonts w:eastAsia="Times New Roman" w:cs="Times New Roman"/>
                <w:b w:val="0"/>
                <w:color w:val="000000"/>
                <w:sz w:val="24"/>
                <w:szCs w:val="24"/>
                <w:lang w:eastAsia="hr-HR"/>
              </w:rPr>
            </w:pPr>
            <w:r w:rsidRPr="009F5494">
              <w:rPr>
                <w:rFonts w:eastAsia="Times New Roman" w:cs="Times New Roman"/>
                <w:b w:val="0"/>
                <w:color w:val="000000"/>
                <w:sz w:val="24"/>
                <w:szCs w:val="24"/>
                <w:lang w:eastAsia="hr-HR"/>
              </w:rPr>
              <w:t>Grad Zagreb</w:t>
            </w:r>
          </w:p>
        </w:tc>
        <w:tc>
          <w:tcPr>
            <w:tcW w:w="2268" w:type="dxa"/>
            <w:noWrap/>
            <w:tcMar>
              <w:right w:w="284" w:type="dxa"/>
            </w:tcMar>
            <w:hideMark/>
          </w:tcPr>
          <w:p w14:paraId="68871907" w14:textId="77777777" w:rsidR="00F84F9A" w:rsidRPr="009F5494" w:rsidRDefault="00F84F9A" w:rsidP="009F549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hr-HR"/>
              </w:rPr>
            </w:pPr>
            <w:r w:rsidRPr="009F5494">
              <w:rPr>
                <w:rFonts w:eastAsia="Times New Roman" w:cs="Times New Roman"/>
                <w:color w:val="000000"/>
                <w:sz w:val="24"/>
                <w:szCs w:val="24"/>
                <w:lang w:eastAsia="hr-HR"/>
              </w:rPr>
              <w:t>1.556</w:t>
            </w:r>
          </w:p>
        </w:tc>
        <w:tc>
          <w:tcPr>
            <w:tcW w:w="2048" w:type="dxa"/>
            <w:noWrap/>
            <w:tcMar>
              <w:right w:w="284" w:type="dxa"/>
            </w:tcMar>
            <w:hideMark/>
          </w:tcPr>
          <w:p w14:paraId="21D80640" w14:textId="77777777" w:rsidR="00F84F9A" w:rsidRPr="009F5494" w:rsidRDefault="00F84F9A" w:rsidP="009F549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hr-HR"/>
              </w:rPr>
            </w:pPr>
            <w:r w:rsidRPr="009F5494">
              <w:rPr>
                <w:rFonts w:eastAsia="Times New Roman" w:cs="Times New Roman"/>
                <w:color w:val="000000"/>
                <w:sz w:val="24"/>
                <w:szCs w:val="24"/>
                <w:lang w:eastAsia="hr-HR"/>
              </w:rPr>
              <w:t>10.174</w:t>
            </w:r>
          </w:p>
        </w:tc>
      </w:tr>
      <w:tr w:rsidR="00F84F9A" w:rsidRPr="00F36EDD" w14:paraId="6C005FF2" w14:textId="77777777" w:rsidTr="009F5494">
        <w:trPr>
          <w:trHeight w:val="20"/>
          <w:jc w:val="center"/>
        </w:trPr>
        <w:tc>
          <w:tcPr>
            <w:cnfStyle w:val="001000000000" w:firstRow="0" w:lastRow="0" w:firstColumn="1" w:lastColumn="0" w:oddVBand="0" w:evenVBand="0" w:oddHBand="0" w:evenHBand="0" w:firstRowFirstColumn="0" w:firstRowLastColumn="0" w:lastRowFirstColumn="0" w:lastRowLastColumn="0"/>
            <w:tcW w:w="3964" w:type="dxa"/>
            <w:noWrap/>
            <w:hideMark/>
          </w:tcPr>
          <w:p w14:paraId="4B0040F7" w14:textId="77777777" w:rsidR="00F84F9A" w:rsidRPr="009F5494" w:rsidRDefault="00F84F9A" w:rsidP="001362A5">
            <w:pPr>
              <w:rPr>
                <w:rFonts w:eastAsia="Times New Roman" w:cs="Times New Roman"/>
                <w:b w:val="0"/>
                <w:color w:val="000000"/>
                <w:sz w:val="24"/>
                <w:szCs w:val="24"/>
                <w:lang w:eastAsia="hr-HR"/>
              </w:rPr>
            </w:pPr>
            <w:r w:rsidRPr="009F5494">
              <w:rPr>
                <w:rFonts w:eastAsia="Times New Roman" w:cs="Times New Roman"/>
                <w:b w:val="0"/>
                <w:color w:val="000000"/>
                <w:sz w:val="24"/>
                <w:szCs w:val="24"/>
                <w:lang w:eastAsia="hr-HR"/>
              </w:rPr>
              <w:t>Primorsko-goranska županija</w:t>
            </w:r>
          </w:p>
        </w:tc>
        <w:tc>
          <w:tcPr>
            <w:tcW w:w="2268" w:type="dxa"/>
            <w:noWrap/>
            <w:tcMar>
              <w:right w:w="284" w:type="dxa"/>
            </w:tcMar>
            <w:hideMark/>
          </w:tcPr>
          <w:p w14:paraId="63C92210" w14:textId="77777777" w:rsidR="00F84F9A" w:rsidRPr="009F5494" w:rsidRDefault="00F84F9A" w:rsidP="009F549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hr-HR"/>
              </w:rPr>
            </w:pPr>
            <w:r w:rsidRPr="009F5494">
              <w:rPr>
                <w:rFonts w:eastAsia="Times New Roman" w:cs="Times New Roman"/>
                <w:color w:val="000000"/>
                <w:sz w:val="24"/>
                <w:szCs w:val="24"/>
                <w:lang w:eastAsia="hr-HR"/>
              </w:rPr>
              <w:t>342</w:t>
            </w:r>
          </w:p>
        </w:tc>
        <w:tc>
          <w:tcPr>
            <w:tcW w:w="2048" w:type="dxa"/>
            <w:noWrap/>
            <w:tcMar>
              <w:right w:w="284" w:type="dxa"/>
            </w:tcMar>
            <w:hideMark/>
          </w:tcPr>
          <w:p w14:paraId="362CB3F4" w14:textId="77777777" w:rsidR="00F84F9A" w:rsidRPr="009F5494" w:rsidRDefault="00F84F9A" w:rsidP="009F549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hr-HR"/>
              </w:rPr>
            </w:pPr>
            <w:r w:rsidRPr="009F5494">
              <w:rPr>
                <w:rFonts w:eastAsia="Times New Roman" w:cs="Times New Roman"/>
                <w:color w:val="000000"/>
                <w:sz w:val="24"/>
                <w:szCs w:val="24"/>
                <w:lang w:eastAsia="hr-HR"/>
              </w:rPr>
              <w:t>1.834</w:t>
            </w:r>
          </w:p>
        </w:tc>
      </w:tr>
      <w:tr w:rsidR="00F84F9A" w:rsidRPr="00F36EDD" w14:paraId="603494C5" w14:textId="77777777" w:rsidTr="009F549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964" w:type="dxa"/>
            <w:noWrap/>
            <w:hideMark/>
          </w:tcPr>
          <w:p w14:paraId="656DAB9E" w14:textId="77777777" w:rsidR="00F84F9A" w:rsidRPr="009F5494" w:rsidRDefault="00F84F9A" w:rsidP="001362A5">
            <w:pPr>
              <w:rPr>
                <w:rFonts w:eastAsia="Times New Roman" w:cs="Times New Roman"/>
                <w:b w:val="0"/>
                <w:color w:val="000000"/>
                <w:sz w:val="24"/>
                <w:szCs w:val="24"/>
                <w:lang w:eastAsia="hr-HR"/>
              </w:rPr>
            </w:pPr>
            <w:r w:rsidRPr="009F5494">
              <w:rPr>
                <w:rFonts w:eastAsia="Times New Roman" w:cs="Times New Roman"/>
                <w:b w:val="0"/>
                <w:color w:val="000000"/>
                <w:sz w:val="24"/>
                <w:szCs w:val="24"/>
                <w:lang w:eastAsia="hr-HR"/>
              </w:rPr>
              <w:t>Osječko-baranjska županija</w:t>
            </w:r>
          </w:p>
        </w:tc>
        <w:tc>
          <w:tcPr>
            <w:tcW w:w="2268" w:type="dxa"/>
            <w:noWrap/>
            <w:tcMar>
              <w:right w:w="284" w:type="dxa"/>
            </w:tcMar>
            <w:hideMark/>
          </w:tcPr>
          <w:p w14:paraId="3B5DAB09" w14:textId="77777777" w:rsidR="00F84F9A" w:rsidRPr="009F5494" w:rsidRDefault="00F84F9A" w:rsidP="009F549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hr-HR"/>
              </w:rPr>
            </w:pPr>
            <w:r w:rsidRPr="009F5494">
              <w:rPr>
                <w:rFonts w:eastAsia="Times New Roman" w:cs="Times New Roman"/>
                <w:color w:val="000000"/>
                <w:sz w:val="24"/>
                <w:szCs w:val="24"/>
                <w:lang w:eastAsia="hr-HR"/>
              </w:rPr>
              <w:t>284</w:t>
            </w:r>
          </w:p>
        </w:tc>
        <w:tc>
          <w:tcPr>
            <w:tcW w:w="2048" w:type="dxa"/>
            <w:noWrap/>
            <w:tcMar>
              <w:right w:w="284" w:type="dxa"/>
            </w:tcMar>
            <w:hideMark/>
          </w:tcPr>
          <w:p w14:paraId="13773B8F" w14:textId="77777777" w:rsidR="00F84F9A" w:rsidRPr="009F5494" w:rsidRDefault="00F84F9A" w:rsidP="009F549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hr-HR"/>
              </w:rPr>
            </w:pPr>
            <w:r w:rsidRPr="009F5494">
              <w:rPr>
                <w:rFonts w:eastAsia="Times New Roman" w:cs="Times New Roman"/>
                <w:color w:val="000000"/>
                <w:sz w:val="24"/>
                <w:szCs w:val="24"/>
                <w:lang w:eastAsia="hr-HR"/>
              </w:rPr>
              <w:t>1.650</w:t>
            </w:r>
          </w:p>
        </w:tc>
      </w:tr>
      <w:tr w:rsidR="00F84F9A" w:rsidRPr="00F36EDD" w14:paraId="4DEADE16" w14:textId="77777777" w:rsidTr="009F5494">
        <w:trPr>
          <w:trHeight w:val="20"/>
          <w:jc w:val="center"/>
        </w:trPr>
        <w:tc>
          <w:tcPr>
            <w:cnfStyle w:val="001000000000" w:firstRow="0" w:lastRow="0" w:firstColumn="1" w:lastColumn="0" w:oddVBand="0" w:evenVBand="0" w:oddHBand="0" w:evenHBand="0" w:firstRowFirstColumn="0" w:firstRowLastColumn="0" w:lastRowFirstColumn="0" w:lastRowLastColumn="0"/>
            <w:tcW w:w="3964" w:type="dxa"/>
            <w:noWrap/>
            <w:hideMark/>
          </w:tcPr>
          <w:p w14:paraId="5C3C2FC4" w14:textId="77777777" w:rsidR="00F84F9A" w:rsidRPr="009F5494" w:rsidRDefault="00F84F9A" w:rsidP="001362A5">
            <w:pPr>
              <w:rPr>
                <w:rFonts w:eastAsia="Times New Roman" w:cs="Times New Roman"/>
                <w:b w:val="0"/>
                <w:color w:val="000000"/>
                <w:sz w:val="24"/>
                <w:szCs w:val="24"/>
                <w:lang w:eastAsia="hr-HR"/>
              </w:rPr>
            </w:pPr>
            <w:r w:rsidRPr="009F5494">
              <w:rPr>
                <w:rFonts w:eastAsia="Times New Roman" w:cs="Times New Roman"/>
                <w:b w:val="0"/>
                <w:color w:val="000000"/>
                <w:sz w:val="24"/>
                <w:szCs w:val="24"/>
                <w:lang w:eastAsia="hr-HR"/>
              </w:rPr>
              <w:t>Splitsko-dalmatinska županija</w:t>
            </w:r>
          </w:p>
        </w:tc>
        <w:tc>
          <w:tcPr>
            <w:tcW w:w="2268" w:type="dxa"/>
            <w:noWrap/>
            <w:tcMar>
              <w:right w:w="284" w:type="dxa"/>
            </w:tcMar>
            <w:hideMark/>
          </w:tcPr>
          <w:p w14:paraId="0C01691E" w14:textId="77777777" w:rsidR="00F84F9A" w:rsidRPr="009F5494" w:rsidRDefault="00F84F9A" w:rsidP="009F549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hr-HR"/>
              </w:rPr>
            </w:pPr>
            <w:r w:rsidRPr="009F5494">
              <w:rPr>
                <w:rFonts w:eastAsia="Times New Roman" w:cs="Times New Roman"/>
                <w:color w:val="000000"/>
                <w:sz w:val="24"/>
                <w:szCs w:val="24"/>
                <w:lang w:eastAsia="hr-HR"/>
              </w:rPr>
              <w:t>376</w:t>
            </w:r>
          </w:p>
        </w:tc>
        <w:tc>
          <w:tcPr>
            <w:tcW w:w="2048" w:type="dxa"/>
            <w:noWrap/>
            <w:tcMar>
              <w:right w:w="284" w:type="dxa"/>
            </w:tcMar>
            <w:hideMark/>
          </w:tcPr>
          <w:p w14:paraId="2D2A617E" w14:textId="77777777" w:rsidR="00F84F9A" w:rsidRPr="009F5494" w:rsidRDefault="00F84F9A" w:rsidP="009F549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hr-HR"/>
              </w:rPr>
            </w:pPr>
            <w:r w:rsidRPr="009F5494">
              <w:rPr>
                <w:rFonts w:eastAsia="Times New Roman" w:cs="Times New Roman"/>
                <w:color w:val="000000"/>
                <w:sz w:val="24"/>
                <w:szCs w:val="24"/>
                <w:lang w:eastAsia="hr-HR"/>
              </w:rPr>
              <w:t>1.453</w:t>
            </w:r>
          </w:p>
        </w:tc>
      </w:tr>
      <w:tr w:rsidR="00F84F9A" w:rsidRPr="00F36EDD" w14:paraId="36E6A140" w14:textId="77777777" w:rsidTr="009F549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964" w:type="dxa"/>
            <w:noWrap/>
            <w:hideMark/>
          </w:tcPr>
          <w:p w14:paraId="4656DE7D" w14:textId="77777777" w:rsidR="00F84F9A" w:rsidRPr="009F5494" w:rsidRDefault="00F84F9A" w:rsidP="001362A5">
            <w:pPr>
              <w:rPr>
                <w:rFonts w:eastAsia="Times New Roman" w:cs="Times New Roman"/>
                <w:b w:val="0"/>
                <w:color w:val="000000"/>
                <w:sz w:val="24"/>
                <w:szCs w:val="24"/>
                <w:lang w:eastAsia="hr-HR"/>
              </w:rPr>
            </w:pPr>
            <w:r w:rsidRPr="009F5494">
              <w:rPr>
                <w:rFonts w:eastAsia="Times New Roman" w:cs="Times New Roman"/>
                <w:b w:val="0"/>
                <w:color w:val="000000"/>
                <w:sz w:val="24"/>
                <w:szCs w:val="24"/>
                <w:lang w:eastAsia="hr-HR"/>
              </w:rPr>
              <w:t>Zagrebačka županija</w:t>
            </w:r>
          </w:p>
        </w:tc>
        <w:tc>
          <w:tcPr>
            <w:tcW w:w="2268" w:type="dxa"/>
            <w:noWrap/>
            <w:tcMar>
              <w:right w:w="284" w:type="dxa"/>
            </w:tcMar>
            <w:hideMark/>
          </w:tcPr>
          <w:p w14:paraId="0DA23BDA" w14:textId="77777777" w:rsidR="00F84F9A" w:rsidRPr="009F5494" w:rsidRDefault="00F84F9A" w:rsidP="009F549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hr-HR"/>
              </w:rPr>
            </w:pPr>
            <w:r w:rsidRPr="009F5494">
              <w:rPr>
                <w:rFonts w:eastAsia="Times New Roman" w:cs="Times New Roman"/>
                <w:color w:val="000000"/>
                <w:sz w:val="24"/>
                <w:szCs w:val="24"/>
                <w:lang w:eastAsia="hr-HR"/>
              </w:rPr>
              <w:t>302</w:t>
            </w:r>
          </w:p>
        </w:tc>
        <w:tc>
          <w:tcPr>
            <w:tcW w:w="2048" w:type="dxa"/>
            <w:noWrap/>
            <w:tcMar>
              <w:right w:w="284" w:type="dxa"/>
            </w:tcMar>
            <w:hideMark/>
          </w:tcPr>
          <w:p w14:paraId="23DED6E4" w14:textId="77777777" w:rsidR="00F84F9A" w:rsidRPr="009F5494" w:rsidRDefault="00F84F9A" w:rsidP="009F549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hr-HR"/>
              </w:rPr>
            </w:pPr>
            <w:r w:rsidRPr="009F5494">
              <w:rPr>
                <w:rFonts w:eastAsia="Times New Roman" w:cs="Times New Roman"/>
                <w:color w:val="000000"/>
                <w:sz w:val="24"/>
                <w:szCs w:val="24"/>
                <w:lang w:eastAsia="hr-HR"/>
              </w:rPr>
              <w:t>1.096</w:t>
            </w:r>
          </w:p>
        </w:tc>
      </w:tr>
      <w:tr w:rsidR="00F84F9A" w:rsidRPr="00F36EDD" w14:paraId="71B4D2BA" w14:textId="77777777" w:rsidTr="009F5494">
        <w:trPr>
          <w:trHeight w:val="20"/>
          <w:jc w:val="center"/>
        </w:trPr>
        <w:tc>
          <w:tcPr>
            <w:cnfStyle w:val="001000000000" w:firstRow="0" w:lastRow="0" w:firstColumn="1" w:lastColumn="0" w:oddVBand="0" w:evenVBand="0" w:oddHBand="0" w:evenHBand="0" w:firstRowFirstColumn="0" w:firstRowLastColumn="0" w:lastRowFirstColumn="0" w:lastRowLastColumn="0"/>
            <w:tcW w:w="3964" w:type="dxa"/>
            <w:noWrap/>
            <w:hideMark/>
          </w:tcPr>
          <w:p w14:paraId="48C4E579" w14:textId="77777777" w:rsidR="00F84F9A" w:rsidRPr="009F5494" w:rsidRDefault="00F84F9A" w:rsidP="001362A5">
            <w:pPr>
              <w:rPr>
                <w:rFonts w:eastAsia="Times New Roman" w:cs="Times New Roman"/>
                <w:b w:val="0"/>
                <w:color w:val="000000"/>
                <w:sz w:val="24"/>
                <w:szCs w:val="24"/>
                <w:lang w:eastAsia="hr-HR"/>
              </w:rPr>
            </w:pPr>
            <w:r w:rsidRPr="009F5494">
              <w:rPr>
                <w:rFonts w:eastAsia="Times New Roman" w:cs="Times New Roman"/>
                <w:b w:val="0"/>
                <w:color w:val="000000"/>
                <w:sz w:val="24"/>
                <w:szCs w:val="24"/>
                <w:lang w:eastAsia="hr-HR"/>
              </w:rPr>
              <w:t>Istarska županija</w:t>
            </w:r>
          </w:p>
        </w:tc>
        <w:tc>
          <w:tcPr>
            <w:tcW w:w="2268" w:type="dxa"/>
            <w:noWrap/>
            <w:tcMar>
              <w:right w:w="284" w:type="dxa"/>
            </w:tcMar>
            <w:hideMark/>
          </w:tcPr>
          <w:p w14:paraId="44A428E6" w14:textId="77777777" w:rsidR="00F84F9A" w:rsidRPr="009F5494" w:rsidRDefault="00F84F9A" w:rsidP="009F549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hr-HR"/>
              </w:rPr>
            </w:pPr>
            <w:r w:rsidRPr="009F5494">
              <w:rPr>
                <w:rFonts w:eastAsia="Times New Roman" w:cs="Times New Roman"/>
                <w:color w:val="000000"/>
                <w:sz w:val="24"/>
                <w:szCs w:val="24"/>
                <w:lang w:eastAsia="hr-HR"/>
              </w:rPr>
              <w:t>180</w:t>
            </w:r>
          </w:p>
        </w:tc>
        <w:tc>
          <w:tcPr>
            <w:tcW w:w="2048" w:type="dxa"/>
            <w:noWrap/>
            <w:tcMar>
              <w:right w:w="284" w:type="dxa"/>
            </w:tcMar>
            <w:hideMark/>
          </w:tcPr>
          <w:p w14:paraId="68C1E681" w14:textId="77777777" w:rsidR="00F84F9A" w:rsidRPr="009F5494" w:rsidRDefault="00F84F9A" w:rsidP="009F549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hr-HR"/>
              </w:rPr>
            </w:pPr>
            <w:r w:rsidRPr="009F5494">
              <w:rPr>
                <w:rFonts w:eastAsia="Times New Roman" w:cs="Times New Roman"/>
                <w:color w:val="000000"/>
                <w:sz w:val="24"/>
                <w:szCs w:val="24"/>
                <w:lang w:eastAsia="hr-HR"/>
              </w:rPr>
              <w:t>752</w:t>
            </w:r>
          </w:p>
        </w:tc>
      </w:tr>
      <w:tr w:rsidR="00F84F9A" w:rsidRPr="00F36EDD" w14:paraId="1A06204A" w14:textId="77777777" w:rsidTr="009F549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964" w:type="dxa"/>
            <w:noWrap/>
            <w:hideMark/>
          </w:tcPr>
          <w:p w14:paraId="4105310A" w14:textId="77777777" w:rsidR="00F84F9A" w:rsidRPr="009F5494" w:rsidRDefault="00F84F9A" w:rsidP="001362A5">
            <w:pPr>
              <w:rPr>
                <w:rFonts w:eastAsia="Times New Roman" w:cs="Times New Roman"/>
                <w:b w:val="0"/>
                <w:color w:val="000000"/>
                <w:sz w:val="24"/>
                <w:szCs w:val="24"/>
                <w:lang w:eastAsia="hr-HR"/>
              </w:rPr>
            </w:pPr>
            <w:r w:rsidRPr="009F5494">
              <w:rPr>
                <w:rFonts w:eastAsia="Times New Roman" w:cs="Times New Roman"/>
                <w:b w:val="0"/>
                <w:color w:val="000000"/>
                <w:sz w:val="24"/>
                <w:szCs w:val="24"/>
                <w:lang w:eastAsia="hr-HR"/>
              </w:rPr>
              <w:t>Varaždinska županija</w:t>
            </w:r>
          </w:p>
        </w:tc>
        <w:tc>
          <w:tcPr>
            <w:tcW w:w="2268" w:type="dxa"/>
            <w:noWrap/>
            <w:tcMar>
              <w:right w:w="284" w:type="dxa"/>
            </w:tcMar>
            <w:hideMark/>
          </w:tcPr>
          <w:p w14:paraId="7F37360E" w14:textId="77777777" w:rsidR="00F84F9A" w:rsidRPr="009F5494" w:rsidRDefault="00F84F9A" w:rsidP="009F549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hr-HR"/>
              </w:rPr>
            </w:pPr>
            <w:r w:rsidRPr="009F5494">
              <w:rPr>
                <w:rFonts w:eastAsia="Times New Roman" w:cs="Times New Roman"/>
                <w:color w:val="000000"/>
                <w:sz w:val="24"/>
                <w:szCs w:val="24"/>
                <w:lang w:eastAsia="hr-HR"/>
              </w:rPr>
              <w:t>155</w:t>
            </w:r>
          </w:p>
        </w:tc>
        <w:tc>
          <w:tcPr>
            <w:tcW w:w="2048" w:type="dxa"/>
            <w:noWrap/>
            <w:tcMar>
              <w:right w:w="284" w:type="dxa"/>
            </w:tcMar>
            <w:hideMark/>
          </w:tcPr>
          <w:p w14:paraId="0421A6BC" w14:textId="77777777" w:rsidR="00F84F9A" w:rsidRPr="009F5494" w:rsidRDefault="00F84F9A" w:rsidP="009F549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hr-HR"/>
              </w:rPr>
            </w:pPr>
            <w:r w:rsidRPr="009F5494">
              <w:rPr>
                <w:rFonts w:eastAsia="Times New Roman" w:cs="Times New Roman"/>
                <w:color w:val="000000"/>
                <w:sz w:val="24"/>
                <w:szCs w:val="24"/>
                <w:lang w:eastAsia="hr-HR"/>
              </w:rPr>
              <w:t>624</w:t>
            </w:r>
          </w:p>
        </w:tc>
      </w:tr>
      <w:tr w:rsidR="00F84F9A" w:rsidRPr="00F36EDD" w14:paraId="5E75C8CC" w14:textId="77777777" w:rsidTr="009F5494">
        <w:trPr>
          <w:trHeight w:val="20"/>
          <w:jc w:val="center"/>
        </w:trPr>
        <w:tc>
          <w:tcPr>
            <w:cnfStyle w:val="001000000000" w:firstRow="0" w:lastRow="0" w:firstColumn="1" w:lastColumn="0" w:oddVBand="0" w:evenVBand="0" w:oddHBand="0" w:evenHBand="0" w:firstRowFirstColumn="0" w:firstRowLastColumn="0" w:lastRowFirstColumn="0" w:lastRowLastColumn="0"/>
            <w:tcW w:w="3964" w:type="dxa"/>
            <w:noWrap/>
            <w:hideMark/>
          </w:tcPr>
          <w:p w14:paraId="78116DE1" w14:textId="77777777" w:rsidR="00F84F9A" w:rsidRPr="009F5494" w:rsidRDefault="00F84F9A" w:rsidP="001362A5">
            <w:pPr>
              <w:rPr>
                <w:rFonts w:eastAsia="Times New Roman" w:cs="Times New Roman"/>
                <w:b w:val="0"/>
                <w:color w:val="000000"/>
                <w:sz w:val="24"/>
                <w:szCs w:val="24"/>
                <w:lang w:eastAsia="hr-HR"/>
              </w:rPr>
            </w:pPr>
            <w:r w:rsidRPr="009F5494">
              <w:rPr>
                <w:rFonts w:eastAsia="Times New Roman" w:cs="Times New Roman"/>
                <w:b w:val="0"/>
                <w:color w:val="000000"/>
                <w:sz w:val="24"/>
                <w:szCs w:val="24"/>
                <w:lang w:eastAsia="hr-HR"/>
              </w:rPr>
              <w:t>Vukovarsko-srijemska županija</w:t>
            </w:r>
          </w:p>
        </w:tc>
        <w:tc>
          <w:tcPr>
            <w:tcW w:w="2268" w:type="dxa"/>
            <w:noWrap/>
            <w:tcMar>
              <w:right w:w="284" w:type="dxa"/>
            </w:tcMar>
            <w:hideMark/>
          </w:tcPr>
          <w:p w14:paraId="4FB13704" w14:textId="77777777" w:rsidR="00F84F9A" w:rsidRPr="009F5494" w:rsidRDefault="00F84F9A" w:rsidP="009F549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hr-HR"/>
              </w:rPr>
            </w:pPr>
            <w:r w:rsidRPr="009F5494">
              <w:rPr>
                <w:rFonts w:eastAsia="Times New Roman" w:cs="Times New Roman"/>
                <w:color w:val="000000"/>
                <w:sz w:val="24"/>
                <w:szCs w:val="24"/>
                <w:lang w:eastAsia="hr-HR"/>
              </w:rPr>
              <w:t>100</w:t>
            </w:r>
          </w:p>
        </w:tc>
        <w:tc>
          <w:tcPr>
            <w:tcW w:w="2048" w:type="dxa"/>
            <w:noWrap/>
            <w:tcMar>
              <w:right w:w="284" w:type="dxa"/>
            </w:tcMar>
            <w:hideMark/>
          </w:tcPr>
          <w:p w14:paraId="5C986C0B" w14:textId="77777777" w:rsidR="00F84F9A" w:rsidRPr="009F5494" w:rsidRDefault="00F84F9A" w:rsidP="009F549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hr-HR"/>
              </w:rPr>
            </w:pPr>
            <w:r w:rsidRPr="009F5494">
              <w:rPr>
                <w:rFonts w:eastAsia="Times New Roman" w:cs="Times New Roman"/>
                <w:color w:val="000000"/>
                <w:sz w:val="24"/>
                <w:szCs w:val="24"/>
                <w:lang w:eastAsia="hr-HR"/>
              </w:rPr>
              <w:t>508</w:t>
            </w:r>
          </w:p>
        </w:tc>
      </w:tr>
      <w:tr w:rsidR="00F84F9A" w:rsidRPr="00F36EDD" w14:paraId="0D774D40" w14:textId="77777777" w:rsidTr="009F549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964" w:type="dxa"/>
            <w:noWrap/>
            <w:hideMark/>
          </w:tcPr>
          <w:p w14:paraId="67A51C0A" w14:textId="77777777" w:rsidR="00F84F9A" w:rsidRPr="009F5494" w:rsidRDefault="00F84F9A" w:rsidP="001362A5">
            <w:pPr>
              <w:rPr>
                <w:rFonts w:eastAsia="Times New Roman" w:cs="Times New Roman"/>
                <w:b w:val="0"/>
                <w:color w:val="000000"/>
                <w:sz w:val="24"/>
                <w:szCs w:val="24"/>
                <w:lang w:eastAsia="hr-HR"/>
              </w:rPr>
            </w:pPr>
            <w:r w:rsidRPr="009F5494">
              <w:rPr>
                <w:rFonts w:eastAsia="Times New Roman" w:cs="Times New Roman"/>
                <w:b w:val="0"/>
                <w:color w:val="000000"/>
                <w:sz w:val="24"/>
                <w:szCs w:val="24"/>
                <w:lang w:eastAsia="hr-HR"/>
              </w:rPr>
              <w:t>Sisačko-moslavačka županija</w:t>
            </w:r>
          </w:p>
        </w:tc>
        <w:tc>
          <w:tcPr>
            <w:tcW w:w="2268" w:type="dxa"/>
            <w:noWrap/>
            <w:tcMar>
              <w:right w:w="284" w:type="dxa"/>
            </w:tcMar>
            <w:hideMark/>
          </w:tcPr>
          <w:p w14:paraId="443194FB" w14:textId="77777777" w:rsidR="00F84F9A" w:rsidRPr="009F5494" w:rsidRDefault="00F84F9A" w:rsidP="009F549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hr-HR"/>
              </w:rPr>
            </w:pPr>
            <w:r w:rsidRPr="009F5494">
              <w:rPr>
                <w:rFonts w:eastAsia="Times New Roman" w:cs="Times New Roman"/>
                <w:color w:val="000000"/>
                <w:sz w:val="24"/>
                <w:szCs w:val="24"/>
                <w:lang w:eastAsia="hr-HR"/>
              </w:rPr>
              <w:t>82</w:t>
            </w:r>
          </w:p>
        </w:tc>
        <w:tc>
          <w:tcPr>
            <w:tcW w:w="2048" w:type="dxa"/>
            <w:noWrap/>
            <w:tcMar>
              <w:right w:w="284" w:type="dxa"/>
            </w:tcMar>
            <w:hideMark/>
          </w:tcPr>
          <w:p w14:paraId="3D2D49DC" w14:textId="77777777" w:rsidR="00F84F9A" w:rsidRPr="009F5494" w:rsidRDefault="00F84F9A" w:rsidP="009F549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hr-HR"/>
              </w:rPr>
            </w:pPr>
            <w:r w:rsidRPr="009F5494">
              <w:rPr>
                <w:rFonts w:eastAsia="Times New Roman" w:cs="Times New Roman"/>
                <w:color w:val="000000"/>
                <w:sz w:val="24"/>
                <w:szCs w:val="24"/>
                <w:lang w:eastAsia="hr-HR"/>
              </w:rPr>
              <w:t>507</w:t>
            </w:r>
          </w:p>
        </w:tc>
      </w:tr>
      <w:tr w:rsidR="00F84F9A" w:rsidRPr="00F36EDD" w14:paraId="5ABFC109" w14:textId="77777777" w:rsidTr="009F5494">
        <w:trPr>
          <w:trHeight w:val="20"/>
          <w:jc w:val="center"/>
        </w:trPr>
        <w:tc>
          <w:tcPr>
            <w:cnfStyle w:val="001000000000" w:firstRow="0" w:lastRow="0" w:firstColumn="1" w:lastColumn="0" w:oddVBand="0" w:evenVBand="0" w:oddHBand="0" w:evenHBand="0" w:firstRowFirstColumn="0" w:firstRowLastColumn="0" w:lastRowFirstColumn="0" w:lastRowLastColumn="0"/>
            <w:tcW w:w="3964" w:type="dxa"/>
            <w:noWrap/>
            <w:hideMark/>
          </w:tcPr>
          <w:p w14:paraId="34DB38F0" w14:textId="77777777" w:rsidR="00F84F9A" w:rsidRPr="009F5494" w:rsidRDefault="00F84F9A" w:rsidP="001362A5">
            <w:pPr>
              <w:rPr>
                <w:rFonts w:eastAsia="Times New Roman" w:cs="Times New Roman"/>
                <w:b w:val="0"/>
                <w:color w:val="000000"/>
                <w:sz w:val="24"/>
                <w:szCs w:val="24"/>
                <w:lang w:eastAsia="hr-HR"/>
              </w:rPr>
            </w:pPr>
            <w:r w:rsidRPr="009F5494">
              <w:rPr>
                <w:rFonts w:eastAsia="Times New Roman" w:cs="Times New Roman"/>
                <w:b w:val="0"/>
                <w:color w:val="000000"/>
                <w:sz w:val="24"/>
                <w:szCs w:val="24"/>
                <w:lang w:eastAsia="hr-HR"/>
              </w:rPr>
              <w:t>Karlovačka županija</w:t>
            </w:r>
          </w:p>
        </w:tc>
        <w:tc>
          <w:tcPr>
            <w:tcW w:w="2268" w:type="dxa"/>
            <w:noWrap/>
            <w:tcMar>
              <w:right w:w="284" w:type="dxa"/>
            </w:tcMar>
            <w:hideMark/>
          </w:tcPr>
          <w:p w14:paraId="59241ADD" w14:textId="77777777" w:rsidR="00F84F9A" w:rsidRPr="009F5494" w:rsidRDefault="00F84F9A" w:rsidP="009F549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hr-HR"/>
              </w:rPr>
            </w:pPr>
            <w:r w:rsidRPr="009F5494">
              <w:rPr>
                <w:rFonts w:eastAsia="Times New Roman" w:cs="Times New Roman"/>
                <w:color w:val="000000"/>
                <w:sz w:val="24"/>
                <w:szCs w:val="24"/>
                <w:lang w:eastAsia="hr-HR"/>
              </w:rPr>
              <w:t>100</w:t>
            </w:r>
          </w:p>
        </w:tc>
        <w:tc>
          <w:tcPr>
            <w:tcW w:w="2048" w:type="dxa"/>
            <w:noWrap/>
            <w:tcMar>
              <w:right w:w="284" w:type="dxa"/>
            </w:tcMar>
            <w:hideMark/>
          </w:tcPr>
          <w:p w14:paraId="59277BA8" w14:textId="77777777" w:rsidR="00F84F9A" w:rsidRPr="009F5494" w:rsidRDefault="00F84F9A" w:rsidP="009F549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hr-HR"/>
              </w:rPr>
            </w:pPr>
            <w:r w:rsidRPr="009F5494">
              <w:rPr>
                <w:rFonts w:eastAsia="Times New Roman" w:cs="Times New Roman"/>
                <w:color w:val="000000"/>
                <w:sz w:val="24"/>
                <w:szCs w:val="24"/>
                <w:lang w:eastAsia="hr-HR"/>
              </w:rPr>
              <w:t>416</w:t>
            </w:r>
          </w:p>
        </w:tc>
      </w:tr>
      <w:tr w:rsidR="00F84F9A" w:rsidRPr="00F36EDD" w14:paraId="4801DCBD" w14:textId="77777777" w:rsidTr="009F549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964" w:type="dxa"/>
            <w:noWrap/>
            <w:hideMark/>
          </w:tcPr>
          <w:p w14:paraId="095D4A6B" w14:textId="77777777" w:rsidR="00F84F9A" w:rsidRPr="009F5494" w:rsidRDefault="00F84F9A" w:rsidP="001362A5">
            <w:pPr>
              <w:rPr>
                <w:rFonts w:eastAsia="Times New Roman" w:cs="Times New Roman"/>
                <w:b w:val="0"/>
                <w:color w:val="000000"/>
                <w:sz w:val="24"/>
                <w:szCs w:val="24"/>
                <w:lang w:eastAsia="hr-HR"/>
              </w:rPr>
            </w:pPr>
            <w:r w:rsidRPr="009F5494">
              <w:rPr>
                <w:rFonts w:eastAsia="Times New Roman" w:cs="Times New Roman"/>
                <w:b w:val="0"/>
                <w:color w:val="000000"/>
                <w:sz w:val="24"/>
                <w:szCs w:val="24"/>
                <w:lang w:eastAsia="hr-HR"/>
              </w:rPr>
              <w:t>Koprivničko-križevačka županija</w:t>
            </w:r>
          </w:p>
        </w:tc>
        <w:tc>
          <w:tcPr>
            <w:tcW w:w="2268" w:type="dxa"/>
            <w:noWrap/>
            <w:tcMar>
              <w:right w:w="284" w:type="dxa"/>
            </w:tcMar>
            <w:hideMark/>
          </w:tcPr>
          <w:p w14:paraId="5AFC9DAC" w14:textId="77777777" w:rsidR="00F84F9A" w:rsidRPr="009F5494" w:rsidRDefault="00F84F9A" w:rsidP="009F549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hr-HR"/>
              </w:rPr>
            </w:pPr>
            <w:r w:rsidRPr="009F5494">
              <w:rPr>
                <w:rFonts w:eastAsia="Times New Roman" w:cs="Times New Roman"/>
                <w:color w:val="000000"/>
                <w:sz w:val="24"/>
                <w:szCs w:val="24"/>
                <w:lang w:eastAsia="hr-HR"/>
              </w:rPr>
              <w:t>86</w:t>
            </w:r>
          </w:p>
        </w:tc>
        <w:tc>
          <w:tcPr>
            <w:tcW w:w="2048" w:type="dxa"/>
            <w:noWrap/>
            <w:tcMar>
              <w:right w:w="284" w:type="dxa"/>
            </w:tcMar>
            <w:hideMark/>
          </w:tcPr>
          <w:p w14:paraId="2839AF2B" w14:textId="77777777" w:rsidR="00F84F9A" w:rsidRPr="009F5494" w:rsidRDefault="00F84F9A" w:rsidP="009F549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hr-HR"/>
              </w:rPr>
            </w:pPr>
            <w:r w:rsidRPr="009F5494">
              <w:rPr>
                <w:rFonts w:eastAsia="Times New Roman" w:cs="Times New Roman"/>
                <w:color w:val="000000"/>
                <w:sz w:val="24"/>
                <w:szCs w:val="24"/>
                <w:lang w:eastAsia="hr-HR"/>
              </w:rPr>
              <w:t>356</w:t>
            </w:r>
          </w:p>
        </w:tc>
      </w:tr>
      <w:tr w:rsidR="00F84F9A" w:rsidRPr="00F36EDD" w14:paraId="2BA90D8C" w14:textId="77777777" w:rsidTr="009F5494">
        <w:trPr>
          <w:trHeight w:val="20"/>
          <w:jc w:val="center"/>
        </w:trPr>
        <w:tc>
          <w:tcPr>
            <w:cnfStyle w:val="001000000000" w:firstRow="0" w:lastRow="0" w:firstColumn="1" w:lastColumn="0" w:oddVBand="0" w:evenVBand="0" w:oddHBand="0" w:evenHBand="0" w:firstRowFirstColumn="0" w:firstRowLastColumn="0" w:lastRowFirstColumn="0" w:lastRowLastColumn="0"/>
            <w:tcW w:w="3964" w:type="dxa"/>
            <w:noWrap/>
            <w:hideMark/>
          </w:tcPr>
          <w:p w14:paraId="0A7E0984" w14:textId="77777777" w:rsidR="00F84F9A" w:rsidRPr="009F5494" w:rsidRDefault="00F84F9A" w:rsidP="001362A5">
            <w:pPr>
              <w:rPr>
                <w:rFonts w:eastAsia="Times New Roman" w:cs="Times New Roman"/>
                <w:b w:val="0"/>
                <w:color w:val="000000"/>
                <w:sz w:val="24"/>
                <w:szCs w:val="24"/>
                <w:lang w:eastAsia="hr-HR"/>
              </w:rPr>
            </w:pPr>
            <w:r w:rsidRPr="009F5494">
              <w:rPr>
                <w:rFonts w:eastAsia="Times New Roman" w:cs="Times New Roman"/>
                <w:b w:val="0"/>
                <w:color w:val="000000"/>
                <w:sz w:val="24"/>
                <w:szCs w:val="24"/>
                <w:lang w:eastAsia="hr-HR"/>
              </w:rPr>
              <w:t>Zadarska županija</w:t>
            </w:r>
          </w:p>
        </w:tc>
        <w:tc>
          <w:tcPr>
            <w:tcW w:w="2268" w:type="dxa"/>
            <w:noWrap/>
            <w:tcMar>
              <w:right w:w="284" w:type="dxa"/>
            </w:tcMar>
            <w:hideMark/>
          </w:tcPr>
          <w:p w14:paraId="203FD20A" w14:textId="77777777" w:rsidR="00F84F9A" w:rsidRPr="009F5494" w:rsidRDefault="00F84F9A" w:rsidP="009F549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hr-HR"/>
              </w:rPr>
            </w:pPr>
            <w:r w:rsidRPr="009F5494">
              <w:rPr>
                <w:rFonts w:eastAsia="Times New Roman" w:cs="Times New Roman"/>
                <w:color w:val="000000"/>
                <w:sz w:val="24"/>
                <w:szCs w:val="24"/>
                <w:lang w:eastAsia="hr-HR"/>
              </w:rPr>
              <w:t>132</w:t>
            </w:r>
          </w:p>
        </w:tc>
        <w:tc>
          <w:tcPr>
            <w:tcW w:w="2048" w:type="dxa"/>
            <w:noWrap/>
            <w:tcMar>
              <w:right w:w="284" w:type="dxa"/>
            </w:tcMar>
            <w:hideMark/>
          </w:tcPr>
          <w:p w14:paraId="4B698F3E" w14:textId="77777777" w:rsidR="00F84F9A" w:rsidRPr="009F5494" w:rsidRDefault="00F84F9A" w:rsidP="009F549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hr-HR"/>
              </w:rPr>
            </w:pPr>
            <w:r w:rsidRPr="009F5494">
              <w:rPr>
                <w:rFonts w:eastAsia="Times New Roman" w:cs="Times New Roman"/>
                <w:color w:val="000000"/>
                <w:sz w:val="24"/>
                <w:szCs w:val="24"/>
                <w:lang w:eastAsia="hr-HR"/>
              </w:rPr>
              <w:t>339</w:t>
            </w:r>
          </w:p>
        </w:tc>
      </w:tr>
      <w:tr w:rsidR="00F84F9A" w:rsidRPr="00F36EDD" w14:paraId="3B989749" w14:textId="77777777" w:rsidTr="009F549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964" w:type="dxa"/>
            <w:noWrap/>
            <w:hideMark/>
          </w:tcPr>
          <w:p w14:paraId="0F798D67" w14:textId="77777777" w:rsidR="00F84F9A" w:rsidRPr="009F5494" w:rsidRDefault="00F84F9A" w:rsidP="001362A5">
            <w:pPr>
              <w:rPr>
                <w:rFonts w:eastAsia="Times New Roman" w:cs="Times New Roman"/>
                <w:b w:val="0"/>
                <w:color w:val="000000"/>
                <w:sz w:val="24"/>
                <w:szCs w:val="24"/>
                <w:lang w:eastAsia="hr-HR"/>
              </w:rPr>
            </w:pPr>
            <w:r w:rsidRPr="009F5494">
              <w:rPr>
                <w:rFonts w:eastAsia="Times New Roman" w:cs="Times New Roman"/>
                <w:b w:val="0"/>
                <w:color w:val="000000"/>
                <w:sz w:val="24"/>
                <w:szCs w:val="24"/>
                <w:lang w:eastAsia="hr-HR"/>
              </w:rPr>
              <w:t>Krapinsko-zagorska županija</w:t>
            </w:r>
          </w:p>
        </w:tc>
        <w:tc>
          <w:tcPr>
            <w:tcW w:w="2268" w:type="dxa"/>
            <w:noWrap/>
            <w:tcMar>
              <w:right w:w="284" w:type="dxa"/>
            </w:tcMar>
            <w:hideMark/>
          </w:tcPr>
          <w:p w14:paraId="45325E37" w14:textId="77777777" w:rsidR="00F84F9A" w:rsidRPr="009F5494" w:rsidRDefault="00F84F9A" w:rsidP="009F549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hr-HR"/>
              </w:rPr>
            </w:pPr>
            <w:r w:rsidRPr="009F5494">
              <w:rPr>
                <w:rFonts w:eastAsia="Times New Roman" w:cs="Times New Roman"/>
                <w:color w:val="000000"/>
                <w:sz w:val="24"/>
                <w:szCs w:val="24"/>
                <w:lang w:eastAsia="hr-HR"/>
              </w:rPr>
              <w:t>79</w:t>
            </w:r>
          </w:p>
        </w:tc>
        <w:tc>
          <w:tcPr>
            <w:tcW w:w="2048" w:type="dxa"/>
            <w:noWrap/>
            <w:tcMar>
              <w:right w:w="284" w:type="dxa"/>
            </w:tcMar>
            <w:hideMark/>
          </w:tcPr>
          <w:p w14:paraId="38554DDB" w14:textId="77777777" w:rsidR="00F84F9A" w:rsidRPr="009F5494" w:rsidRDefault="00F84F9A" w:rsidP="009F549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hr-HR"/>
              </w:rPr>
            </w:pPr>
            <w:r w:rsidRPr="009F5494">
              <w:rPr>
                <w:rFonts w:eastAsia="Times New Roman" w:cs="Times New Roman"/>
                <w:color w:val="000000"/>
                <w:sz w:val="24"/>
                <w:szCs w:val="24"/>
                <w:lang w:eastAsia="hr-HR"/>
              </w:rPr>
              <w:t>301</w:t>
            </w:r>
          </w:p>
        </w:tc>
      </w:tr>
      <w:tr w:rsidR="00F84F9A" w:rsidRPr="00F36EDD" w14:paraId="79E45665" w14:textId="77777777" w:rsidTr="009F5494">
        <w:trPr>
          <w:trHeight w:val="20"/>
          <w:jc w:val="center"/>
        </w:trPr>
        <w:tc>
          <w:tcPr>
            <w:cnfStyle w:val="001000000000" w:firstRow="0" w:lastRow="0" w:firstColumn="1" w:lastColumn="0" w:oddVBand="0" w:evenVBand="0" w:oddHBand="0" w:evenHBand="0" w:firstRowFirstColumn="0" w:firstRowLastColumn="0" w:lastRowFirstColumn="0" w:lastRowLastColumn="0"/>
            <w:tcW w:w="3964" w:type="dxa"/>
            <w:noWrap/>
            <w:hideMark/>
          </w:tcPr>
          <w:p w14:paraId="67F0A55B" w14:textId="77777777" w:rsidR="00F84F9A" w:rsidRPr="009F5494" w:rsidRDefault="00F84F9A" w:rsidP="001362A5">
            <w:pPr>
              <w:rPr>
                <w:rFonts w:eastAsia="Times New Roman" w:cs="Times New Roman"/>
                <w:b w:val="0"/>
                <w:color w:val="000000"/>
                <w:sz w:val="24"/>
                <w:szCs w:val="24"/>
                <w:lang w:eastAsia="hr-HR"/>
              </w:rPr>
            </w:pPr>
            <w:r w:rsidRPr="009F5494">
              <w:rPr>
                <w:rFonts w:eastAsia="Times New Roman" w:cs="Times New Roman"/>
                <w:b w:val="0"/>
                <w:color w:val="000000"/>
                <w:sz w:val="24"/>
                <w:szCs w:val="24"/>
                <w:lang w:eastAsia="hr-HR"/>
              </w:rPr>
              <w:t>Šibensko-kninska županija</w:t>
            </w:r>
          </w:p>
        </w:tc>
        <w:tc>
          <w:tcPr>
            <w:tcW w:w="2268" w:type="dxa"/>
            <w:noWrap/>
            <w:tcMar>
              <w:right w:w="284" w:type="dxa"/>
            </w:tcMar>
            <w:hideMark/>
          </w:tcPr>
          <w:p w14:paraId="16048C19" w14:textId="77777777" w:rsidR="00F84F9A" w:rsidRPr="009F5494" w:rsidRDefault="00F84F9A" w:rsidP="009F549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hr-HR"/>
              </w:rPr>
            </w:pPr>
            <w:r w:rsidRPr="009F5494">
              <w:rPr>
                <w:rFonts w:eastAsia="Times New Roman" w:cs="Times New Roman"/>
                <w:color w:val="000000"/>
                <w:sz w:val="24"/>
                <w:szCs w:val="24"/>
                <w:lang w:eastAsia="hr-HR"/>
              </w:rPr>
              <w:t>91</w:t>
            </w:r>
          </w:p>
        </w:tc>
        <w:tc>
          <w:tcPr>
            <w:tcW w:w="2048" w:type="dxa"/>
            <w:noWrap/>
            <w:tcMar>
              <w:right w:w="284" w:type="dxa"/>
            </w:tcMar>
            <w:hideMark/>
          </w:tcPr>
          <w:p w14:paraId="477F4E1C" w14:textId="77777777" w:rsidR="00F84F9A" w:rsidRPr="009F5494" w:rsidRDefault="00F84F9A" w:rsidP="009F549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hr-HR"/>
              </w:rPr>
            </w:pPr>
            <w:r w:rsidRPr="009F5494">
              <w:rPr>
                <w:rFonts w:eastAsia="Times New Roman" w:cs="Times New Roman"/>
                <w:color w:val="000000"/>
                <w:sz w:val="24"/>
                <w:szCs w:val="24"/>
                <w:lang w:eastAsia="hr-HR"/>
              </w:rPr>
              <w:t>290</w:t>
            </w:r>
          </w:p>
        </w:tc>
      </w:tr>
      <w:tr w:rsidR="00F84F9A" w:rsidRPr="00F36EDD" w14:paraId="7BFB8BD7" w14:textId="77777777" w:rsidTr="009F549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964" w:type="dxa"/>
            <w:noWrap/>
            <w:hideMark/>
          </w:tcPr>
          <w:p w14:paraId="47D352CF" w14:textId="77777777" w:rsidR="00F84F9A" w:rsidRPr="009F5494" w:rsidRDefault="00F84F9A" w:rsidP="001362A5">
            <w:pPr>
              <w:rPr>
                <w:rFonts w:eastAsia="Times New Roman" w:cs="Times New Roman"/>
                <w:b w:val="0"/>
                <w:color w:val="000000"/>
                <w:sz w:val="24"/>
                <w:szCs w:val="24"/>
                <w:lang w:eastAsia="hr-HR"/>
              </w:rPr>
            </w:pPr>
            <w:r w:rsidRPr="009F5494">
              <w:rPr>
                <w:rFonts w:eastAsia="Times New Roman" w:cs="Times New Roman"/>
                <w:b w:val="0"/>
                <w:color w:val="000000"/>
                <w:sz w:val="24"/>
                <w:szCs w:val="24"/>
                <w:lang w:eastAsia="hr-HR"/>
              </w:rPr>
              <w:t>Međimurska županija</w:t>
            </w:r>
          </w:p>
        </w:tc>
        <w:tc>
          <w:tcPr>
            <w:tcW w:w="2268" w:type="dxa"/>
            <w:noWrap/>
            <w:tcMar>
              <w:right w:w="284" w:type="dxa"/>
            </w:tcMar>
            <w:hideMark/>
          </w:tcPr>
          <w:p w14:paraId="111C9B41" w14:textId="77777777" w:rsidR="00F84F9A" w:rsidRPr="009F5494" w:rsidRDefault="00F84F9A" w:rsidP="009F549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hr-HR"/>
              </w:rPr>
            </w:pPr>
            <w:r w:rsidRPr="009F5494">
              <w:rPr>
                <w:rFonts w:eastAsia="Times New Roman" w:cs="Times New Roman"/>
                <w:color w:val="000000"/>
                <w:sz w:val="24"/>
                <w:szCs w:val="24"/>
                <w:lang w:eastAsia="hr-HR"/>
              </w:rPr>
              <w:t>100</w:t>
            </w:r>
          </w:p>
        </w:tc>
        <w:tc>
          <w:tcPr>
            <w:tcW w:w="2048" w:type="dxa"/>
            <w:noWrap/>
            <w:tcMar>
              <w:right w:w="284" w:type="dxa"/>
            </w:tcMar>
            <w:hideMark/>
          </w:tcPr>
          <w:p w14:paraId="117CCE1B" w14:textId="77777777" w:rsidR="00F84F9A" w:rsidRPr="009F5494" w:rsidRDefault="00F84F9A" w:rsidP="009F549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hr-HR"/>
              </w:rPr>
            </w:pPr>
            <w:r w:rsidRPr="009F5494">
              <w:rPr>
                <w:rFonts w:eastAsia="Times New Roman" w:cs="Times New Roman"/>
                <w:color w:val="000000"/>
                <w:sz w:val="24"/>
                <w:szCs w:val="24"/>
                <w:lang w:eastAsia="hr-HR"/>
              </w:rPr>
              <w:t>289</w:t>
            </w:r>
          </w:p>
        </w:tc>
      </w:tr>
      <w:tr w:rsidR="00F84F9A" w:rsidRPr="00F36EDD" w14:paraId="74426DBF" w14:textId="77777777" w:rsidTr="009F5494">
        <w:trPr>
          <w:trHeight w:val="20"/>
          <w:jc w:val="center"/>
        </w:trPr>
        <w:tc>
          <w:tcPr>
            <w:cnfStyle w:val="001000000000" w:firstRow="0" w:lastRow="0" w:firstColumn="1" w:lastColumn="0" w:oddVBand="0" w:evenVBand="0" w:oddHBand="0" w:evenHBand="0" w:firstRowFirstColumn="0" w:firstRowLastColumn="0" w:lastRowFirstColumn="0" w:lastRowLastColumn="0"/>
            <w:tcW w:w="3964" w:type="dxa"/>
            <w:noWrap/>
            <w:hideMark/>
          </w:tcPr>
          <w:p w14:paraId="7C30B37C" w14:textId="77777777" w:rsidR="00F84F9A" w:rsidRPr="009F5494" w:rsidRDefault="00F84F9A" w:rsidP="001362A5">
            <w:pPr>
              <w:rPr>
                <w:rFonts w:eastAsia="Times New Roman" w:cs="Times New Roman"/>
                <w:b w:val="0"/>
                <w:color w:val="000000"/>
                <w:sz w:val="24"/>
                <w:szCs w:val="24"/>
                <w:lang w:eastAsia="hr-HR"/>
              </w:rPr>
            </w:pPr>
            <w:r w:rsidRPr="009F5494">
              <w:rPr>
                <w:rFonts w:eastAsia="Times New Roman" w:cs="Times New Roman"/>
                <w:b w:val="0"/>
                <w:color w:val="000000"/>
                <w:sz w:val="24"/>
                <w:szCs w:val="24"/>
                <w:lang w:eastAsia="hr-HR"/>
              </w:rPr>
              <w:t>Virovitičko-podravska županija</w:t>
            </w:r>
          </w:p>
        </w:tc>
        <w:tc>
          <w:tcPr>
            <w:tcW w:w="2268" w:type="dxa"/>
            <w:noWrap/>
            <w:tcMar>
              <w:right w:w="284" w:type="dxa"/>
            </w:tcMar>
            <w:hideMark/>
          </w:tcPr>
          <w:p w14:paraId="736289F7" w14:textId="77777777" w:rsidR="00F84F9A" w:rsidRPr="009F5494" w:rsidRDefault="00F84F9A" w:rsidP="009F549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hr-HR"/>
              </w:rPr>
            </w:pPr>
            <w:r w:rsidRPr="009F5494">
              <w:rPr>
                <w:rFonts w:eastAsia="Times New Roman" w:cs="Times New Roman"/>
                <w:color w:val="000000"/>
                <w:sz w:val="24"/>
                <w:szCs w:val="24"/>
                <w:lang w:eastAsia="hr-HR"/>
              </w:rPr>
              <w:t>53</w:t>
            </w:r>
          </w:p>
        </w:tc>
        <w:tc>
          <w:tcPr>
            <w:tcW w:w="2048" w:type="dxa"/>
            <w:noWrap/>
            <w:tcMar>
              <w:right w:w="284" w:type="dxa"/>
            </w:tcMar>
            <w:hideMark/>
          </w:tcPr>
          <w:p w14:paraId="2653B48E" w14:textId="77777777" w:rsidR="00F84F9A" w:rsidRPr="009F5494" w:rsidRDefault="00F84F9A" w:rsidP="009F549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hr-HR"/>
              </w:rPr>
            </w:pPr>
            <w:r w:rsidRPr="009F5494">
              <w:rPr>
                <w:rFonts w:eastAsia="Times New Roman" w:cs="Times New Roman"/>
                <w:color w:val="000000"/>
                <w:sz w:val="24"/>
                <w:szCs w:val="24"/>
                <w:lang w:eastAsia="hr-HR"/>
              </w:rPr>
              <w:t>285</w:t>
            </w:r>
          </w:p>
        </w:tc>
      </w:tr>
      <w:tr w:rsidR="00F84F9A" w:rsidRPr="00F36EDD" w14:paraId="187512DE" w14:textId="77777777" w:rsidTr="009F549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964" w:type="dxa"/>
            <w:noWrap/>
            <w:hideMark/>
          </w:tcPr>
          <w:p w14:paraId="33792123" w14:textId="77777777" w:rsidR="00F84F9A" w:rsidRPr="009F5494" w:rsidRDefault="00F84F9A" w:rsidP="001362A5">
            <w:pPr>
              <w:rPr>
                <w:rFonts w:eastAsia="Times New Roman" w:cs="Times New Roman"/>
                <w:b w:val="0"/>
                <w:color w:val="000000"/>
                <w:sz w:val="24"/>
                <w:szCs w:val="24"/>
                <w:lang w:eastAsia="hr-HR"/>
              </w:rPr>
            </w:pPr>
            <w:r w:rsidRPr="009F5494">
              <w:rPr>
                <w:rFonts w:eastAsia="Times New Roman" w:cs="Times New Roman"/>
                <w:b w:val="0"/>
                <w:color w:val="000000"/>
                <w:sz w:val="24"/>
                <w:szCs w:val="24"/>
                <w:lang w:eastAsia="hr-HR"/>
              </w:rPr>
              <w:t>Bjelovarsko-bilogorska županija</w:t>
            </w:r>
          </w:p>
        </w:tc>
        <w:tc>
          <w:tcPr>
            <w:tcW w:w="2268" w:type="dxa"/>
            <w:noWrap/>
            <w:tcMar>
              <w:right w:w="284" w:type="dxa"/>
            </w:tcMar>
            <w:hideMark/>
          </w:tcPr>
          <w:p w14:paraId="48F91328" w14:textId="77777777" w:rsidR="00F84F9A" w:rsidRPr="009F5494" w:rsidRDefault="00F84F9A" w:rsidP="009F549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hr-HR"/>
              </w:rPr>
            </w:pPr>
            <w:r w:rsidRPr="009F5494">
              <w:rPr>
                <w:rFonts w:eastAsia="Times New Roman" w:cs="Times New Roman"/>
                <w:color w:val="000000"/>
                <w:sz w:val="24"/>
                <w:szCs w:val="24"/>
                <w:lang w:eastAsia="hr-HR"/>
              </w:rPr>
              <w:t>87</w:t>
            </w:r>
          </w:p>
        </w:tc>
        <w:tc>
          <w:tcPr>
            <w:tcW w:w="2048" w:type="dxa"/>
            <w:noWrap/>
            <w:tcMar>
              <w:right w:w="284" w:type="dxa"/>
            </w:tcMar>
            <w:hideMark/>
          </w:tcPr>
          <w:p w14:paraId="1660BE66" w14:textId="77777777" w:rsidR="00F84F9A" w:rsidRPr="009F5494" w:rsidRDefault="00F84F9A" w:rsidP="009F549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hr-HR"/>
              </w:rPr>
            </w:pPr>
            <w:r w:rsidRPr="009F5494">
              <w:rPr>
                <w:rFonts w:eastAsia="Times New Roman" w:cs="Times New Roman"/>
                <w:color w:val="000000"/>
                <w:sz w:val="24"/>
                <w:szCs w:val="24"/>
                <w:lang w:eastAsia="hr-HR"/>
              </w:rPr>
              <w:t>282</w:t>
            </w:r>
          </w:p>
        </w:tc>
      </w:tr>
      <w:tr w:rsidR="00F84F9A" w:rsidRPr="00F36EDD" w14:paraId="25D77E2C" w14:textId="77777777" w:rsidTr="009F5494">
        <w:trPr>
          <w:trHeight w:val="20"/>
          <w:jc w:val="center"/>
        </w:trPr>
        <w:tc>
          <w:tcPr>
            <w:cnfStyle w:val="001000000000" w:firstRow="0" w:lastRow="0" w:firstColumn="1" w:lastColumn="0" w:oddVBand="0" w:evenVBand="0" w:oddHBand="0" w:evenHBand="0" w:firstRowFirstColumn="0" w:firstRowLastColumn="0" w:lastRowFirstColumn="0" w:lastRowLastColumn="0"/>
            <w:tcW w:w="3964" w:type="dxa"/>
            <w:noWrap/>
            <w:hideMark/>
          </w:tcPr>
          <w:p w14:paraId="5E6190E2" w14:textId="77777777" w:rsidR="00F84F9A" w:rsidRPr="009F5494" w:rsidRDefault="00F84F9A" w:rsidP="001362A5">
            <w:pPr>
              <w:rPr>
                <w:rFonts w:eastAsia="Times New Roman" w:cs="Times New Roman"/>
                <w:b w:val="0"/>
                <w:color w:val="000000"/>
                <w:sz w:val="24"/>
                <w:szCs w:val="24"/>
                <w:lang w:eastAsia="hr-HR"/>
              </w:rPr>
            </w:pPr>
            <w:r w:rsidRPr="009F5494">
              <w:rPr>
                <w:rFonts w:eastAsia="Times New Roman" w:cs="Times New Roman"/>
                <w:b w:val="0"/>
                <w:color w:val="000000"/>
                <w:sz w:val="24"/>
                <w:szCs w:val="24"/>
                <w:lang w:eastAsia="hr-HR"/>
              </w:rPr>
              <w:t>Dubrovačko-neretvanska županija</w:t>
            </w:r>
          </w:p>
        </w:tc>
        <w:tc>
          <w:tcPr>
            <w:tcW w:w="2268" w:type="dxa"/>
            <w:noWrap/>
            <w:tcMar>
              <w:right w:w="284" w:type="dxa"/>
            </w:tcMar>
            <w:hideMark/>
          </w:tcPr>
          <w:p w14:paraId="60001DD1" w14:textId="77777777" w:rsidR="00F84F9A" w:rsidRPr="009F5494" w:rsidRDefault="00F84F9A" w:rsidP="009F549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hr-HR"/>
              </w:rPr>
            </w:pPr>
            <w:r w:rsidRPr="009F5494">
              <w:rPr>
                <w:rFonts w:eastAsia="Times New Roman" w:cs="Times New Roman"/>
                <w:color w:val="000000"/>
                <w:sz w:val="24"/>
                <w:szCs w:val="24"/>
                <w:lang w:eastAsia="hr-HR"/>
              </w:rPr>
              <w:t>99</w:t>
            </w:r>
          </w:p>
        </w:tc>
        <w:tc>
          <w:tcPr>
            <w:tcW w:w="2048" w:type="dxa"/>
            <w:noWrap/>
            <w:tcMar>
              <w:right w:w="284" w:type="dxa"/>
            </w:tcMar>
            <w:hideMark/>
          </w:tcPr>
          <w:p w14:paraId="7F84D475" w14:textId="77777777" w:rsidR="00F84F9A" w:rsidRPr="009F5494" w:rsidRDefault="00F84F9A" w:rsidP="009F549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hr-HR"/>
              </w:rPr>
            </w:pPr>
            <w:r w:rsidRPr="009F5494">
              <w:rPr>
                <w:rFonts w:eastAsia="Times New Roman" w:cs="Times New Roman"/>
                <w:color w:val="000000"/>
                <w:sz w:val="24"/>
                <w:szCs w:val="24"/>
                <w:lang w:eastAsia="hr-HR"/>
              </w:rPr>
              <w:t>281</w:t>
            </w:r>
          </w:p>
        </w:tc>
      </w:tr>
      <w:tr w:rsidR="00F84F9A" w:rsidRPr="00F36EDD" w14:paraId="25741C16" w14:textId="77777777" w:rsidTr="009F549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964" w:type="dxa"/>
            <w:noWrap/>
            <w:hideMark/>
          </w:tcPr>
          <w:p w14:paraId="57102697" w14:textId="77777777" w:rsidR="00F84F9A" w:rsidRPr="009F5494" w:rsidRDefault="00F84F9A" w:rsidP="001362A5">
            <w:pPr>
              <w:rPr>
                <w:rFonts w:eastAsia="Times New Roman" w:cs="Times New Roman"/>
                <w:b w:val="0"/>
                <w:color w:val="000000"/>
                <w:sz w:val="24"/>
                <w:szCs w:val="24"/>
                <w:lang w:eastAsia="hr-HR"/>
              </w:rPr>
            </w:pPr>
            <w:r w:rsidRPr="009F5494">
              <w:rPr>
                <w:rFonts w:eastAsia="Times New Roman" w:cs="Times New Roman"/>
                <w:b w:val="0"/>
                <w:color w:val="000000"/>
                <w:sz w:val="24"/>
                <w:szCs w:val="24"/>
                <w:lang w:eastAsia="hr-HR"/>
              </w:rPr>
              <w:t>Požeško-slavonska županija</w:t>
            </w:r>
          </w:p>
        </w:tc>
        <w:tc>
          <w:tcPr>
            <w:tcW w:w="2268" w:type="dxa"/>
            <w:noWrap/>
            <w:tcMar>
              <w:right w:w="284" w:type="dxa"/>
            </w:tcMar>
            <w:hideMark/>
          </w:tcPr>
          <w:p w14:paraId="21A54912" w14:textId="77777777" w:rsidR="00F84F9A" w:rsidRPr="009F5494" w:rsidRDefault="00F84F9A" w:rsidP="009F549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hr-HR"/>
              </w:rPr>
            </w:pPr>
            <w:r w:rsidRPr="009F5494">
              <w:rPr>
                <w:rFonts w:eastAsia="Times New Roman" w:cs="Times New Roman"/>
                <w:color w:val="000000"/>
                <w:sz w:val="24"/>
                <w:szCs w:val="24"/>
                <w:lang w:eastAsia="hr-HR"/>
              </w:rPr>
              <w:t>47</w:t>
            </w:r>
          </w:p>
        </w:tc>
        <w:tc>
          <w:tcPr>
            <w:tcW w:w="2048" w:type="dxa"/>
            <w:noWrap/>
            <w:tcMar>
              <w:right w:w="284" w:type="dxa"/>
            </w:tcMar>
            <w:hideMark/>
          </w:tcPr>
          <w:p w14:paraId="5CF105B0" w14:textId="77777777" w:rsidR="00F84F9A" w:rsidRPr="009F5494" w:rsidRDefault="00F84F9A" w:rsidP="009F549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hr-HR"/>
              </w:rPr>
            </w:pPr>
            <w:r w:rsidRPr="009F5494">
              <w:rPr>
                <w:rFonts w:eastAsia="Times New Roman" w:cs="Times New Roman"/>
                <w:color w:val="000000"/>
                <w:sz w:val="24"/>
                <w:szCs w:val="24"/>
                <w:lang w:eastAsia="hr-HR"/>
              </w:rPr>
              <w:t>233</w:t>
            </w:r>
          </w:p>
        </w:tc>
      </w:tr>
      <w:tr w:rsidR="00F84F9A" w:rsidRPr="00F36EDD" w14:paraId="43E98267" w14:textId="77777777" w:rsidTr="009F5494">
        <w:trPr>
          <w:trHeight w:val="20"/>
          <w:jc w:val="center"/>
        </w:trPr>
        <w:tc>
          <w:tcPr>
            <w:cnfStyle w:val="001000000000" w:firstRow="0" w:lastRow="0" w:firstColumn="1" w:lastColumn="0" w:oddVBand="0" w:evenVBand="0" w:oddHBand="0" w:evenHBand="0" w:firstRowFirstColumn="0" w:firstRowLastColumn="0" w:lastRowFirstColumn="0" w:lastRowLastColumn="0"/>
            <w:tcW w:w="3964" w:type="dxa"/>
            <w:noWrap/>
            <w:hideMark/>
          </w:tcPr>
          <w:p w14:paraId="72664816" w14:textId="77777777" w:rsidR="00F84F9A" w:rsidRPr="009F5494" w:rsidRDefault="00F84F9A" w:rsidP="001362A5">
            <w:pPr>
              <w:rPr>
                <w:rFonts w:eastAsia="Times New Roman" w:cs="Times New Roman"/>
                <w:b w:val="0"/>
                <w:color w:val="000000"/>
                <w:sz w:val="24"/>
                <w:szCs w:val="24"/>
                <w:lang w:eastAsia="hr-HR"/>
              </w:rPr>
            </w:pPr>
            <w:r w:rsidRPr="009F5494">
              <w:rPr>
                <w:rFonts w:eastAsia="Times New Roman" w:cs="Times New Roman"/>
                <w:b w:val="0"/>
                <w:color w:val="000000"/>
                <w:sz w:val="24"/>
                <w:szCs w:val="24"/>
                <w:lang w:eastAsia="hr-HR"/>
              </w:rPr>
              <w:t>Brodsko-posavska županija</w:t>
            </w:r>
          </w:p>
        </w:tc>
        <w:tc>
          <w:tcPr>
            <w:tcW w:w="2268" w:type="dxa"/>
            <w:noWrap/>
            <w:tcMar>
              <w:right w:w="284" w:type="dxa"/>
            </w:tcMar>
            <w:hideMark/>
          </w:tcPr>
          <w:p w14:paraId="58E87ADD" w14:textId="77777777" w:rsidR="00F84F9A" w:rsidRPr="009F5494" w:rsidRDefault="00F84F9A" w:rsidP="009F549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hr-HR"/>
              </w:rPr>
            </w:pPr>
            <w:r w:rsidRPr="009F5494">
              <w:rPr>
                <w:rFonts w:eastAsia="Times New Roman" w:cs="Times New Roman"/>
                <w:color w:val="000000"/>
                <w:sz w:val="24"/>
                <w:szCs w:val="24"/>
                <w:lang w:eastAsia="hr-HR"/>
              </w:rPr>
              <w:t>77</w:t>
            </w:r>
          </w:p>
        </w:tc>
        <w:tc>
          <w:tcPr>
            <w:tcW w:w="2048" w:type="dxa"/>
            <w:noWrap/>
            <w:tcMar>
              <w:right w:w="284" w:type="dxa"/>
            </w:tcMar>
            <w:hideMark/>
          </w:tcPr>
          <w:p w14:paraId="69BE4853" w14:textId="77777777" w:rsidR="00F84F9A" w:rsidRPr="009F5494" w:rsidRDefault="00F84F9A" w:rsidP="009F549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hr-HR"/>
              </w:rPr>
            </w:pPr>
            <w:r w:rsidRPr="009F5494">
              <w:rPr>
                <w:rFonts w:eastAsia="Times New Roman" w:cs="Times New Roman"/>
                <w:color w:val="000000"/>
                <w:sz w:val="24"/>
                <w:szCs w:val="24"/>
                <w:lang w:eastAsia="hr-HR"/>
              </w:rPr>
              <w:t>227</w:t>
            </w:r>
          </w:p>
        </w:tc>
      </w:tr>
      <w:tr w:rsidR="00F84F9A" w:rsidRPr="00F36EDD" w14:paraId="391FCEE0" w14:textId="77777777" w:rsidTr="009F549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964" w:type="dxa"/>
            <w:noWrap/>
            <w:hideMark/>
          </w:tcPr>
          <w:p w14:paraId="703C729F" w14:textId="77777777" w:rsidR="00F84F9A" w:rsidRPr="009F5494" w:rsidRDefault="00F84F9A" w:rsidP="001362A5">
            <w:pPr>
              <w:rPr>
                <w:rFonts w:eastAsia="Times New Roman" w:cs="Times New Roman"/>
                <w:b w:val="0"/>
                <w:color w:val="000000"/>
                <w:sz w:val="24"/>
                <w:szCs w:val="24"/>
                <w:lang w:eastAsia="hr-HR"/>
              </w:rPr>
            </w:pPr>
            <w:r w:rsidRPr="009F5494">
              <w:rPr>
                <w:rFonts w:eastAsia="Times New Roman" w:cs="Times New Roman"/>
                <w:b w:val="0"/>
                <w:color w:val="000000"/>
                <w:sz w:val="24"/>
                <w:szCs w:val="24"/>
                <w:lang w:eastAsia="hr-HR"/>
              </w:rPr>
              <w:t>Ličko-senjska županija</w:t>
            </w:r>
          </w:p>
        </w:tc>
        <w:tc>
          <w:tcPr>
            <w:tcW w:w="2268" w:type="dxa"/>
            <w:noWrap/>
            <w:tcMar>
              <w:right w:w="284" w:type="dxa"/>
            </w:tcMar>
            <w:hideMark/>
          </w:tcPr>
          <w:p w14:paraId="5A06295C" w14:textId="77777777" w:rsidR="00F84F9A" w:rsidRPr="009F5494" w:rsidRDefault="00F84F9A" w:rsidP="009F549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hr-HR"/>
              </w:rPr>
            </w:pPr>
            <w:r w:rsidRPr="009F5494">
              <w:rPr>
                <w:rFonts w:eastAsia="Times New Roman" w:cs="Times New Roman"/>
                <w:color w:val="000000"/>
                <w:sz w:val="24"/>
                <w:szCs w:val="24"/>
                <w:lang w:eastAsia="hr-HR"/>
              </w:rPr>
              <w:t>30</w:t>
            </w:r>
          </w:p>
        </w:tc>
        <w:tc>
          <w:tcPr>
            <w:tcW w:w="2048" w:type="dxa"/>
            <w:noWrap/>
            <w:tcMar>
              <w:right w:w="284" w:type="dxa"/>
            </w:tcMar>
            <w:hideMark/>
          </w:tcPr>
          <w:p w14:paraId="396D81F8" w14:textId="77777777" w:rsidR="00F84F9A" w:rsidRPr="009F5494" w:rsidRDefault="00F84F9A" w:rsidP="009F549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hr-HR"/>
              </w:rPr>
            </w:pPr>
            <w:r w:rsidRPr="009F5494">
              <w:rPr>
                <w:rFonts w:eastAsia="Times New Roman" w:cs="Times New Roman"/>
                <w:color w:val="000000"/>
                <w:sz w:val="24"/>
                <w:szCs w:val="24"/>
                <w:lang w:eastAsia="hr-HR"/>
              </w:rPr>
              <w:t>178</w:t>
            </w:r>
          </w:p>
        </w:tc>
      </w:tr>
      <w:tr w:rsidR="00F41BE3" w:rsidRPr="00F36EDD" w14:paraId="435AB3C2" w14:textId="77777777" w:rsidTr="009F5494">
        <w:trPr>
          <w:trHeight w:val="20"/>
          <w:jc w:val="center"/>
        </w:trPr>
        <w:tc>
          <w:tcPr>
            <w:cnfStyle w:val="001000000000" w:firstRow="0" w:lastRow="0" w:firstColumn="1" w:lastColumn="0" w:oddVBand="0" w:evenVBand="0" w:oddHBand="0" w:evenHBand="0" w:firstRowFirstColumn="0" w:firstRowLastColumn="0" w:lastRowFirstColumn="0" w:lastRowLastColumn="0"/>
            <w:tcW w:w="3964" w:type="dxa"/>
            <w:noWrap/>
          </w:tcPr>
          <w:p w14:paraId="04A78388" w14:textId="77777777" w:rsidR="00F41BE3" w:rsidRPr="009F5494" w:rsidRDefault="00F41BE3" w:rsidP="001362A5">
            <w:pPr>
              <w:jc w:val="right"/>
              <w:rPr>
                <w:rFonts w:eastAsia="Times New Roman" w:cs="Times New Roman"/>
                <w:bCs w:val="0"/>
                <w:color w:val="000000"/>
                <w:sz w:val="24"/>
                <w:szCs w:val="24"/>
                <w:lang w:eastAsia="hr-HR"/>
              </w:rPr>
            </w:pPr>
            <w:r w:rsidRPr="009F5494">
              <w:rPr>
                <w:rFonts w:eastAsia="Times New Roman" w:cs="Times New Roman"/>
                <w:bCs w:val="0"/>
                <w:color w:val="000000"/>
                <w:sz w:val="24"/>
                <w:szCs w:val="24"/>
                <w:lang w:eastAsia="hr-HR"/>
              </w:rPr>
              <w:t>UKUPNO:</w:t>
            </w:r>
          </w:p>
        </w:tc>
        <w:tc>
          <w:tcPr>
            <w:tcW w:w="2268" w:type="dxa"/>
            <w:noWrap/>
            <w:tcMar>
              <w:right w:w="284" w:type="dxa"/>
            </w:tcMar>
          </w:tcPr>
          <w:p w14:paraId="296DAB95" w14:textId="77777777" w:rsidR="00F41BE3" w:rsidRPr="009F5494" w:rsidRDefault="00E676EF" w:rsidP="009F549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4"/>
                <w:szCs w:val="24"/>
                <w:lang w:eastAsia="hr-HR"/>
              </w:rPr>
            </w:pPr>
            <w:r w:rsidRPr="009F5494">
              <w:rPr>
                <w:rFonts w:eastAsia="Times New Roman" w:cs="Times New Roman"/>
                <w:b/>
                <w:color w:val="000000"/>
                <w:sz w:val="24"/>
                <w:szCs w:val="24"/>
                <w:lang w:eastAsia="hr-HR"/>
              </w:rPr>
              <w:t>4.358</w:t>
            </w:r>
          </w:p>
        </w:tc>
        <w:tc>
          <w:tcPr>
            <w:tcW w:w="2048" w:type="dxa"/>
            <w:noWrap/>
            <w:tcMar>
              <w:right w:w="284" w:type="dxa"/>
            </w:tcMar>
          </w:tcPr>
          <w:p w14:paraId="6F5C4F4A" w14:textId="77777777" w:rsidR="00F41BE3" w:rsidRPr="009F5494" w:rsidRDefault="00F41BE3" w:rsidP="009F549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4"/>
                <w:szCs w:val="24"/>
                <w:lang w:eastAsia="hr-HR"/>
              </w:rPr>
            </w:pPr>
            <w:r w:rsidRPr="009F5494">
              <w:rPr>
                <w:rFonts w:eastAsia="Times New Roman" w:cs="Times New Roman"/>
                <w:b/>
                <w:color w:val="000000"/>
                <w:sz w:val="24"/>
                <w:szCs w:val="24"/>
                <w:lang w:eastAsia="hr-HR"/>
              </w:rPr>
              <w:t>22.075</w:t>
            </w:r>
          </w:p>
        </w:tc>
      </w:tr>
    </w:tbl>
    <w:p w14:paraId="09AEE648" w14:textId="77777777" w:rsidR="00F41BE3" w:rsidRPr="00AB758C" w:rsidRDefault="00F41BE3">
      <w:pPr>
        <w:rPr>
          <w:rFonts w:ascii="Cambria" w:hAnsi="Cambria"/>
          <w:sz w:val="24"/>
          <w:szCs w:val="24"/>
        </w:rPr>
      </w:pPr>
    </w:p>
    <w:p w14:paraId="15C5129A" w14:textId="26DFD9EB" w:rsidR="00650040" w:rsidRDefault="00650040" w:rsidP="009F5494">
      <w:pPr>
        <w:pStyle w:val="Heading2"/>
        <w:spacing w:after="120"/>
      </w:pPr>
      <w:bookmarkStart w:id="17" w:name="_Toc4076876"/>
      <w:r w:rsidRPr="00AB758C">
        <w:t>4.</w:t>
      </w:r>
      <w:r w:rsidR="009F5494">
        <w:t>7</w:t>
      </w:r>
      <w:r w:rsidRPr="00AB758C">
        <w:t>.</w:t>
      </w:r>
      <w:r w:rsidR="00EC220C" w:rsidRPr="00AB758C">
        <w:t xml:space="preserve"> Broj pristiglih komentara</w:t>
      </w:r>
      <w:bookmarkEnd w:id="17"/>
      <w:r w:rsidR="00EC220C" w:rsidRPr="00AB758C">
        <w:t xml:space="preserve"> </w:t>
      </w:r>
    </w:p>
    <w:p w14:paraId="44676B7F" w14:textId="43CDCF08" w:rsidR="00DC69FD" w:rsidRDefault="00DC69FD" w:rsidP="00DC69FD">
      <w:pPr>
        <w:jc w:val="both"/>
        <w:rPr>
          <w:rFonts w:ascii="Cambria" w:hAnsi="Cambria"/>
          <w:sz w:val="24"/>
          <w:szCs w:val="24"/>
        </w:rPr>
      </w:pPr>
      <w:r w:rsidRPr="00DC69FD">
        <w:rPr>
          <w:rFonts w:ascii="Cambria" w:hAnsi="Cambria"/>
          <w:sz w:val="24"/>
          <w:szCs w:val="24"/>
        </w:rPr>
        <w:t>U 201</w:t>
      </w:r>
      <w:r w:rsidR="00D7027C">
        <w:rPr>
          <w:rFonts w:ascii="Cambria" w:hAnsi="Cambria"/>
          <w:sz w:val="24"/>
          <w:szCs w:val="24"/>
        </w:rPr>
        <w:t>8</w:t>
      </w:r>
      <w:r w:rsidRPr="00DC69FD">
        <w:rPr>
          <w:rFonts w:ascii="Cambria" w:hAnsi="Cambria"/>
          <w:sz w:val="24"/>
          <w:szCs w:val="24"/>
        </w:rPr>
        <w:t xml:space="preserve">. godini ukupno je na nacrte zakona, drugih propisa i akata pristiglo </w:t>
      </w:r>
      <w:r w:rsidR="00D7027C">
        <w:rPr>
          <w:rFonts w:ascii="Cambria" w:hAnsi="Cambria"/>
          <w:sz w:val="24"/>
          <w:szCs w:val="24"/>
        </w:rPr>
        <w:t>23.035</w:t>
      </w:r>
      <w:r w:rsidRPr="00DC69FD">
        <w:rPr>
          <w:rFonts w:ascii="Cambria" w:hAnsi="Cambria"/>
          <w:sz w:val="24"/>
          <w:szCs w:val="24"/>
        </w:rPr>
        <w:t xml:space="preserve"> komentara</w:t>
      </w:r>
      <w:r w:rsidR="002541F2">
        <w:rPr>
          <w:rFonts w:ascii="Cambria" w:hAnsi="Cambria"/>
          <w:sz w:val="24"/>
          <w:szCs w:val="24"/>
        </w:rPr>
        <w:t xml:space="preserve">, od čega je </w:t>
      </w:r>
      <w:r w:rsidRPr="00DC69FD">
        <w:rPr>
          <w:rFonts w:ascii="Cambria" w:hAnsi="Cambria"/>
          <w:sz w:val="24"/>
          <w:szCs w:val="24"/>
        </w:rPr>
        <w:t xml:space="preserve"> prihvaćeno njih </w:t>
      </w:r>
      <w:r w:rsidR="00D7027C">
        <w:rPr>
          <w:rFonts w:ascii="Cambria" w:hAnsi="Cambria"/>
          <w:sz w:val="24"/>
          <w:szCs w:val="24"/>
        </w:rPr>
        <w:t>2.929</w:t>
      </w:r>
      <w:r w:rsidRPr="00DC69FD">
        <w:rPr>
          <w:rFonts w:ascii="Cambria" w:hAnsi="Cambria"/>
          <w:sz w:val="24"/>
          <w:szCs w:val="24"/>
        </w:rPr>
        <w:t>, ni</w:t>
      </w:r>
      <w:r w:rsidR="00D7027C">
        <w:rPr>
          <w:rFonts w:ascii="Cambria" w:hAnsi="Cambria"/>
          <w:sz w:val="24"/>
          <w:szCs w:val="24"/>
        </w:rPr>
        <w:t>je</w:t>
      </w:r>
      <w:r w:rsidRPr="00DC69FD">
        <w:rPr>
          <w:rFonts w:ascii="Cambria" w:hAnsi="Cambria"/>
          <w:sz w:val="24"/>
          <w:szCs w:val="24"/>
        </w:rPr>
        <w:t xml:space="preserve"> prihvaćen</w:t>
      </w:r>
      <w:r w:rsidR="00D7027C">
        <w:rPr>
          <w:rFonts w:ascii="Cambria" w:hAnsi="Cambria"/>
          <w:sz w:val="24"/>
          <w:szCs w:val="24"/>
        </w:rPr>
        <w:t>o</w:t>
      </w:r>
      <w:r w:rsidRPr="00DC69FD">
        <w:rPr>
          <w:rFonts w:ascii="Cambria" w:hAnsi="Cambria"/>
          <w:sz w:val="24"/>
          <w:szCs w:val="24"/>
        </w:rPr>
        <w:t xml:space="preserve"> </w:t>
      </w:r>
      <w:r w:rsidR="00D7027C">
        <w:rPr>
          <w:rFonts w:ascii="Cambria" w:hAnsi="Cambria"/>
          <w:sz w:val="24"/>
          <w:szCs w:val="24"/>
        </w:rPr>
        <w:t>7.086</w:t>
      </w:r>
      <w:r w:rsidRPr="00DC69FD">
        <w:rPr>
          <w:rFonts w:ascii="Cambria" w:hAnsi="Cambria"/>
          <w:sz w:val="24"/>
          <w:szCs w:val="24"/>
        </w:rPr>
        <w:t xml:space="preserve"> komentara, dok je njih </w:t>
      </w:r>
      <w:r w:rsidR="00D7027C">
        <w:rPr>
          <w:rFonts w:ascii="Cambria" w:hAnsi="Cambria"/>
          <w:sz w:val="24"/>
          <w:szCs w:val="24"/>
        </w:rPr>
        <w:t>1.642</w:t>
      </w:r>
      <w:r w:rsidRPr="00DC69FD">
        <w:rPr>
          <w:rFonts w:ascii="Cambria" w:hAnsi="Cambria"/>
          <w:sz w:val="24"/>
          <w:szCs w:val="24"/>
        </w:rPr>
        <w:t xml:space="preserve"> djelomično prihvaćeno. </w:t>
      </w:r>
      <w:r w:rsidR="00D7027C">
        <w:rPr>
          <w:rFonts w:ascii="Cambria" w:hAnsi="Cambria"/>
          <w:sz w:val="24"/>
          <w:szCs w:val="24"/>
        </w:rPr>
        <w:t>8.500</w:t>
      </w:r>
      <w:r w:rsidRPr="00DC69FD">
        <w:rPr>
          <w:rFonts w:ascii="Cambria" w:hAnsi="Cambria"/>
          <w:sz w:val="24"/>
          <w:szCs w:val="24"/>
        </w:rPr>
        <w:t xml:space="preserve"> komentara je primljeno na znanje, a na </w:t>
      </w:r>
      <w:r w:rsidR="00D7027C">
        <w:rPr>
          <w:rFonts w:ascii="Cambria" w:hAnsi="Cambria"/>
          <w:sz w:val="24"/>
          <w:szCs w:val="24"/>
        </w:rPr>
        <w:t>2.878</w:t>
      </w:r>
      <w:r w:rsidRPr="00DC69FD">
        <w:rPr>
          <w:rFonts w:ascii="Cambria" w:hAnsi="Cambria"/>
          <w:sz w:val="24"/>
          <w:szCs w:val="24"/>
        </w:rPr>
        <w:t xml:space="preserve"> komentara </w:t>
      </w:r>
      <w:r w:rsidRPr="00DC69FD">
        <w:rPr>
          <w:rFonts w:ascii="Cambria" w:hAnsi="Cambria"/>
          <w:sz w:val="24"/>
          <w:szCs w:val="24"/>
        </w:rPr>
        <w:lastRenderedPageBreak/>
        <w:t>nije odgovoreno</w:t>
      </w:r>
      <w:r w:rsidR="000314DC">
        <w:rPr>
          <w:rStyle w:val="FootnoteReference"/>
          <w:rFonts w:ascii="Cambria" w:hAnsi="Cambria"/>
          <w:sz w:val="24"/>
          <w:szCs w:val="24"/>
        </w:rPr>
        <w:footnoteReference w:id="9"/>
      </w:r>
      <w:r w:rsidR="00411F9F">
        <w:rPr>
          <w:rFonts w:ascii="Cambria" w:hAnsi="Cambria"/>
          <w:sz w:val="24"/>
          <w:szCs w:val="24"/>
        </w:rPr>
        <w:t>, to jest izvješća o provedbi savjetovanja nisu bila objavljena u trenutku izrade ovog Izvješća</w:t>
      </w:r>
      <w:r w:rsidR="000314DC">
        <w:rPr>
          <w:rFonts w:ascii="Cambria" w:hAnsi="Cambria"/>
          <w:sz w:val="24"/>
          <w:szCs w:val="24"/>
        </w:rPr>
        <w:t>.</w:t>
      </w:r>
    </w:p>
    <w:p w14:paraId="4E93C0E6" w14:textId="65F3EBE0" w:rsidR="00D7027C" w:rsidRDefault="00D7027C" w:rsidP="00DC69FD">
      <w:pPr>
        <w:jc w:val="both"/>
        <w:rPr>
          <w:rFonts w:ascii="Cambria" w:hAnsi="Cambria"/>
          <w:sz w:val="24"/>
          <w:szCs w:val="24"/>
        </w:rPr>
      </w:pPr>
      <w:r w:rsidRPr="00F25D43">
        <w:rPr>
          <w:rFonts w:ascii="Cambria" w:hAnsi="Cambria"/>
          <w:sz w:val="24"/>
          <w:szCs w:val="24"/>
        </w:rPr>
        <w:t xml:space="preserve">Broj </w:t>
      </w:r>
      <w:r w:rsidR="003D0115" w:rsidRPr="00F25D43">
        <w:rPr>
          <w:rFonts w:ascii="Cambria" w:hAnsi="Cambria"/>
          <w:sz w:val="24"/>
          <w:szCs w:val="24"/>
        </w:rPr>
        <w:t xml:space="preserve">zaprimljenih </w:t>
      </w:r>
      <w:r w:rsidRPr="00F25D43">
        <w:rPr>
          <w:rFonts w:ascii="Cambria" w:hAnsi="Cambria"/>
          <w:sz w:val="24"/>
          <w:szCs w:val="24"/>
        </w:rPr>
        <w:t xml:space="preserve">komentara neznatno </w:t>
      </w:r>
      <w:r w:rsidR="003D0115" w:rsidRPr="00F25D43">
        <w:rPr>
          <w:rFonts w:ascii="Cambria" w:hAnsi="Cambria"/>
          <w:sz w:val="24"/>
          <w:szCs w:val="24"/>
        </w:rPr>
        <w:t xml:space="preserve">je </w:t>
      </w:r>
      <w:r w:rsidRPr="00F25D43">
        <w:rPr>
          <w:rFonts w:ascii="Cambria" w:hAnsi="Cambria"/>
          <w:sz w:val="24"/>
          <w:szCs w:val="24"/>
        </w:rPr>
        <w:t>povećan u odnosu na 2017.</w:t>
      </w:r>
      <w:r w:rsidR="008C401F">
        <w:rPr>
          <w:rFonts w:ascii="Cambria" w:hAnsi="Cambria"/>
          <w:sz w:val="24"/>
          <w:szCs w:val="24"/>
        </w:rPr>
        <w:t>,</w:t>
      </w:r>
      <w:r w:rsidRPr="00F25D43">
        <w:rPr>
          <w:rFonts w:ascii="Cambria" w:hAnsi="Cambria"/>
          <w:sz w:val="24"/>
          <w:szCs w:val="24"/>
        </w:rPr>
        <w:t xml:space="preserve"> s tim da je u 2018. zabilježeno savjetovanje </w:t>
      </w:r>
      <w:r w:rsidR="00257981" w:rsidRPr="00F25D43">
        <w:rPr>
          <w:rFonts w:ascii="Cambria" w:hAnsi="Cambria"/>
          <w:sz w:val="24"/>
          <w:szCs w:val="24"/>
        </w:rPr>
        <w:t xml:space="preserve">s najvećim broj zaprimljenih komentara </w:t>
      </w:r>
      <w:r w:rsidRPr="00F25D43">
        <w:rPr>
          <w:rFonts w:ascii="Cambria" w:hAnsi="Cambria"/>
          <w:sz w:val="24"/>
          <w:szCs w:val="24"/>
        </w:rPr>
        <w:t>u sustavu e-</w:t>
      </w:r>
      <w:r w:rsidR="00257981" w:rsidRPr="00F25D43">
        <w:rPr>
          <w:rFonts w:ascii="Cambria" w:hAnsi="Cambria"/>
          <w:sz w:val="24"/>
          <w:szCs w:val="24"/>
        </w:rPr>
        <w:t>Savjetovanja</w:t>
      </w:r>
      <w:r w:rsidR="008C401F">
        <w:rPr>
          <w:rFonts w:ascii="Cambria" w:hAnsi="Cambria"/>
          <w:sz w:val="24"/>
          <w:szCs w:val="24"/>
        </w:rPr>
        <w:t>:</w:t>
      </w:r>
      <w:r w:rsidR="00257981" w:rsidRPr="00F25D43">
        <w:rPr>
          <w:rFonts w:ascii="Cambria" w:hAnsi="Cambria"/>
          <w:sz w:val="24"/>
          <w:szCs w:val="24"/>
        </w:rPr>
        <w:t xml:space="preserve"> savjetovanje</w:t>
      </w:r>
      <w:r w:rsidRPr="00F25D43">
        <w:rPr>
          <w:rFonts w:ascii="Cambria" w:hAnsi="Cambria"/>
          <w:sz w:val="24"/>
          <w:szCs w:val="24"/>
        </w:rPr>
        <w:t xml:space="preserve"> Ministarstv</w:t>
      </w:r>
      <w:r w:rsidR="00257981" w:rsidRPr="00F25D43">
        <w:rPr>
          <w:rFonts w:ascii="Cambria" w:hAnsi="Cambria"/>
          <w:sz w:val="24"/>
          <w:szCs w:val="24"/>
        </w:rPr>
        <w:t>a</w:t>
      </w:r>
      <w:r w:rsidRPr="00F25D43">
        <w:rPr>
          <w:rFonts w:ascii="Cambria" w:hAnsi="Cambria"/>
          <w:sz w:val="24"/>
          <w:szCs w:val="24"/>
        </w:rPr>
        <w:t xml:space="preserve"> </w:t>
      </w:r>
      <w:r w:rsidR="00257981">
        <w:rPr>
          <w:rFonts w:ascii="Cambria" w:hAnsi="Cambria"/>
          <w:sz w:val="24"/>
          <w:szCs w:val="24"/>
        </w:rPr>
        <w:t>zdravstva</w:t>
      </w:r>
      <w:r w:rsidR="00F25D43" w:rsidRPr="00F25D43">
        <w:rPr>
          <w:rFonts w:ascii="Cambria" w:hAnsi="Cambria"/>
          <w:sz w:val="24"/>
          <w:szCs w:val="24"/>
        </w:rPr>
        <w:t xml:space="preserve"> o Nacrtu prijedloga Zakona o zdravstvenoj zaštiti i Prijedlogu iskaza o procjeni učinaka propisa</w:t>
      </w:r>
      <w:r w:rsidR="00F25D43">
        <w:rPr>
          <w:rFonts w:ascii="Cambria" w:hAnsi="Cambria"/>
          <w:sz w:val="24"/>
          <w:szCs w:val="24"/>
        </w:rPr>
        <w:t xml:space="preserve"> na kojem je zaprimljeno 5.043 komentara.</w:t>
      </w:r>
    </w:p>
    <w:p w14:paraId="67A9FB54" w14:textId="09770A6F" w:rsidR="00D94F06" w:rsidRDefault="00D94F06" w:rsidP="00DC69FD">
      <w:pPr>
        <w:jc w:val="both"/>
        <w:rPr>
          <w:rFonts w:ascii="Cambria" w:hAnsi="Cambria"/>
          <w:b/>
        </w:rPr>
      </w:pPr>
    </w:p>
    <w:p w14:paraId="155C28A0" w14:textId="77777777" w:rsidR="00FB0D46" w:rsidRDefault="00FB0D46" w:rsidP="00DC69FD">
      <w:pPr>
        <w:jc w:val="both"/>
        <w:rPr>
          <w:rFonts w:ascii="Cambria" w:hAnsi="Cambria"/>
          <w:b/>
        </w:rPr>
      </w:pPr>
      <w:r w:rsidRPr="00FB0D46">
        <w:rPr>
          <w:rFonts w:ascii="Cambria" w:hAnsi="Cambria"/>
          <w:b/>
        </w:rPr>
        <w:t>Grafički prikaz 8: Struktura pristiglih komentara</w:t>
      </w:r>
    </w:p>
    <w:p w14:paraId="0B8F3947" w14:textId="77777777" w:rsidR="00FB0D46" w:rsidRPr="00FB0D46" w:rsidRDefault="00FB0D46" w:rsidP="00DC69FD">
      <w:pPr>
        <w:jc w:val="both"/>
        <w:rPr>
          <w:rFonts w:ascii="Cambria" w:hAnsi="Cambria"/>
          <w:b/>
        </w:rPr>
      </w:pPr>
      <w:r w:rsidRPr="00131432">
        <w:rPr>
          <w:b/>
          <w:noProof/>
          <w:lang w:eastAsia="hr-HR"/>
        </w:rPr>
        <w:drawing>
          <wp:inline distT="0" distB="0" distL="0" distR="0" wp14:anchorId="1BA95A86" wp14:editId="48E12E4B">
            <wp:extent cx="5943600" cy="3302000"/>
            <wp:effectExtent l="57150" t="19050" r="57150" b="8890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0950049" w14:textId="6886E189" w:rsidR="00EC220C" w:rsidRPr="008F5BEE" w:rsidRDefault="00EC220C" w:rsidP="009F5494">
      <w:pPr>
        <w:pStyle w:val="Heading2"/>
        <w:spacing w:after="120"/>
        <w:rPr>
          <w:color w:val="0070C0"/>
        </w:rPr>
      </w:pPr>
      <w:bookmarkStart w:id="18" w:name="_Toc4076877"/>
      <w:r w:rsidRPr="008F5BEE">
        <w:rPr>
          <w:color w:val="0070C0"/>
        </w:rPr>
        <w:t>4.</w:t>
      </w:r>
      <w:r w:rsidR="009F5494">
        <w:rPr>
          <w:color w:val="0070C0"/>
        </w:rPr>
        <w:t>8</w:t>
      </w:r>
      <w:r w:rsidRPr="008F5BEE">
        <w:rPr>
          <w:color w:val="0070C0"/>
        </w:rPr>
        <w:t xml:space="preserve">. </w:t>
      </w:r>
      <w:r w:rsidR="008C401F">
        <w:rPr>
          <w:color w:val="0070C0"/>
        </w:rPr>
        <w:t>I</w:t>
      </w:r>
      <w:r w:rsidRPr="008F5BEE">
        <w:rPr>
          <w:color w:val="0070C0"/>
        </w:rPr>
        <w:t>zvješće o provedenom savjetovanju</w:t>
      </w:r>
      <w:bookmarkEnd w:id="18"/>
    </w:p>
    <w:p w14:paraId="3F38996E" w14:textId="0CD05F34" w:rsidR="006625FB" w:rsidRDefault="006625FB" w:rsidP="00016B55">
      <w:pPr>
        <w:jc w:val="both"/>
        <w:rPr>
          <w:rFonts w:ascii="Cambria" w:hAnsi="Cambria"/>
          <w:sz w:val="24"/>
          <w:szCs w:val="24"/>
        </w:rPr>
      </w:pPr>
      <w:r w:rsidRPr="006625FB">
        <w:rPr>
          <w:rFonts w:ascii="Cambria" w:hAnsi="Cambria"/>
          <w:sz w:val="24"/>
          <w:szCs w:val="24"/>
        </w:rPr>
        <w:t>Tijelo koje je provelo savjetovanje s javnošću dužno je</w:t>
      </w:r>
      <w:r w:rsidR="008C401F">
        <w:rPr>
          <w:rFonts w:ascii="Cambria" w:hAnsi="Cambria"/>
          <w:sz w:val="24"/>
          <w:szCs w:val="24"/>
        </w:rPr>
        <w:t>,</w:t>
      </w:r>
      <w:r w:rsidRPr="006625FB">
        <w:rPr>
          <w:rFonts w:ascii="Cambria" w:hAnsi="Cambria"/>
          <w:sz w:val="24"/>
          <w:szCs w:val="24"/>
        </w:rPr>
        <w:t xml:space="preserve"> po proteku razumnog roka od zaključenja savjetovanja</w:t>
      </w:r>
      <w:r w:rsidR="008C401F">
        <w:rPr>
          <w:rFonts w:ascii="Cambria" w:hAnsi="Cambria"/>
          <w:sz w:val="24"/>
          <w:szCs w:val="24"/>
        </w:rPr>
        <w:t>,</w:t>
      </w:r>
      <w:r w:rsidRPr="006625FB">
        <w:rPr>
          <w:rFonts w:ascii="Cambria" w:hAnsi="Cambria"/>
          <w:sz w:val="24"/>
          <w:szCs w:val="24"/>
        </w:rPr>
        <w:t xml:space="preserve"> na istome mjestu na kojem je savjetovanje bilo objavljeno objaviti i izvješće o provedenom savjetovanju</w:t>
      </w:r>
      <w:r w:rsidR="008C401F">
        <w:rPr>
          <w:rFonts w:ascii="Cambria" w:hAnsi="Cambria"/>
          <w:sz w:val="24"/>
          <w:szCs w:val="24"/>
        </w:rPr>
        <w:t>. Izvješće treba sadržavati</w:t>
      </w:r>
      <w:r w:rsidRPr="006625FB">
        <w:rPr>
          <w:rFonts w:ascii="Cambria" w:hAnsi="Cambria"/>
          <w:sz w:val="24"/>
          <w:szCs w:val="24"/>
        </w:rPr>
        <w:t xml:space="preserve"> očitovanje o tome zašto neki prijedlog ili primjedbu nije moguće prihvatiti u cijelosti ili djelomično. Ponekad je pristigle prijedloge moguće samo primiti na znanje, a ponekad je prijedlog moguće ugraditi u akt. Samo popisivanje pristiglih prijedloga i primjedbi, bez očitovanja tijela javne vlasti na iste, ne predstavlja </w:t>
      </w:r>
      <w:r w:rsidR="008C401F">
        <w:rPr>
          <w:rFonts w:ascii="Cambria" w:hAnsi="Cambria"/>
          <w:sz w:val="24"/>
          <w:szCs w:val="24"/>
        </w:rPr>
        <w:t>primjereno</w:t>
      </w:r>
      <w:r w:rsidR="008C401F" w:rsidRPr="006625FB">
        <w:rPr>
          <w:rFonts w:ascii="Cambria" w:hAnsi="Cambria"/>
          <w:sz w:val="24"/>
          <w:szCs w:val="24"/>
        </w:rPr>
        <w:t xml:space="preserve"> </w:t>
      </w:r>
      <w:r w:rsidRPr="006625FB">
        <w:rPr>
          <w:rFonts w:ascii="Cambria" w:hAnsi="Cambria"/>
          <w:sz w:val="24"/>
          <w:szCs w:val="24"/>
        </w:rPr>
        <w:t>ispunjavanje zakonske obveze. Najava objavljivanja izvješća i njegova objava nužna je radi dvosmjerne komunikacije s javnošću i pružanja povratne informacije, te u konačnici izgradnje kulture povjerenja.</w:t>
      </w:r>
    </w:p>
    <w:p w14:paraId="7962F18A" w14:textId="30E10916" w:rsidR="006625FB" w:rsidRDefault="006625FB" w:rsidP="00016B55">
      <w:pPr>
        <w:jc w:val="both"/>
        <w:rPr>
          <w:rFonts w:ascii="Cambria" w:hAnsi="Cambria"/>
          <w:sz w:val="24"/>
          <w:szCs w:val="24"/>
        </w:rPr>
      </w:pPr>
      <w:r>
        <w:rPr>
          <w:rFonts w:ascii="Cambria" w:hAnsi="Cambria"/>
          <w:sz w:val="24"/>
          <w:szCs w:val="24"/>
        </w:rPr>
        <w:lastRenderedPageBreak/>
        <w:t xml:space="preserve">Uspostavom sustava e-Savjetovanja priprema i </w:t>
      </w:r>
      <w:r w:rsidR="00F25D43">
        <w:rPr>
          <w:rFonts w:ascii="Cambria" w:hAnsi="Cambria"/>
          <w:sz w:val="24"/>
          <w:szCs w:val="24"/>
        </w:rPr>
        <w:t>objava</w:t>
      </w:r>
      <w:r>
        <w:rPr>
          <w:rFonts w:ascii="Cambria" w:hAnsi="Cambria"/>
          <w:sz w:val="24"/>
          <w:szCs w:val="24"/>
        </w:rPr>
        <w:t xml:space="preserve"> izvješća o provedenom savjetovanju olakšana je</w:t>
      </w:r>
      <w:r w:rsidR="00F25D43">
        <w:rPr>
          <w:rFonts w:ascii="Cambria" w:hAnsi="Cambria"/>
          <w:sz w:val="24"/>
          <w:szCs w:val="24"/>
        </w:rPr>
        <w:t>,</w:t>
      </w:r>
      <w:r>
        <w:rPr>
          <w:rFonts w:ascii="Cambria" w:hAnsi="Cambria"/>
          <w:sz w:val="24"/>
          <w:szCs w:val="24"/>
        </w:rPr>
        <w:t xml:space="preserve"> </w:t>
      </w:r>
      <w:r w:rsidR="0058035C">
        <w:rPr>
          <w:rFonts w:ascii="Cambria" w:hAnsi="Cambria"/>
          <w:sz w:val="24"/>
          <w:szCs w:val="24"/>
        </w:rPr>
        <w:t>a sva izvješća se objavljuju u samom sustavu pri čemu korisnici koji su ostavili komentar automatski d</w:t>
      </w:r>
      <w:r w:rsidR="008C401F">
        <w:rPr>
          <w:rFonts w:ascii="Cambria" w:hAnsi="Cambria"/>
          <w:sz w:val="24"/>
          <w:szCs w:val="24"/>
        </w:rPr>
        <w:t>o</w:t>
      </w:r>
      <w:r w:rsidR="0058035C">
        <w:rPr>
          <w:rFonts w:ascii="Cambria" w:hAnsi="Cambria"/>
          <w:sz w:val="24"/>
          <w:szCs w:val="24"/>
        </w:rPr>
        <w:t>biju obavijest o objavljenom izvješću.</w:t>
      </w:r>
    </w:p>
    <w:p w14:paraId="63D94081" w14:textId="44265780" w:rsidR="00016B55" w:rsidRDefault="00016B55" w:rsidP="00016B55">
      <w:pPr>
        <w:jc w:val="both"/>
        <w:rPr>
          <w:rFonts w:ascii="Cambria" w:hAnsi="Cambria"/>
          <w:sz w:val="24"/>
          <w:szCs w:val="24"/>
        </w:rPr>
      </w:pPr>
      <w:r w:rsidRPr="00F25D43">
        <w:rPr>
          <w:rFonts w:ascii="Cambria" w:hAnsi="Cambria"/>
          <w:sz w:val="24"/>
          <w:szCs w:val="24"/>
        </w:rPr>
        <w:t xml:space="preserve">Što se tiče savjetovanja koja su provedena izvan sustava e-Savjetovanja, državna tijela su objavila 72 različita izvješća o rezultatima provedenih savjetovanja. U </w:t>
      </w:r>
      <w:r w:rsidR="00C134E7" w:rsidRPr="00F25D43">
        <w:rPr>
          <w:rFonts w:ascii="Cambria" w:hAnsi="Cambria"/>
          <w:sz w:val="24"/>
          <w:szCs w:val="24"/>
        </w:rPr>
        <w:t>3</w:t>
      </w:r>
      <w:r w:rsidRPr="00F25D43">
        <w:rPr>
          <w:rFonts w:ascii="Cambria" w:hAnsi="Cambria"/>
          <w:sz w:val="24"/>
          <w:szCs w:val="24"/>
        </w:rPr>
        <w:t>9 slučajeva objavljeni su integralni komentari sudionika savjetovanja na internetskim stranicama što omogućuje svim zainteresiranim</w:t>
      </w:r>
      <w:r w:rsidR="00F97589">
        <w:rPr>
          <w:rFonts w:ascii="Cambria" w:hAnsi="Cambria"/>
          <w:sz w:val="24"/>
          <w:szCs w:val="24"/>
        </w:rPr>
        <w:t>a</w:t>
      </w:r>
      <w:r w:rsidRPr="00F25D43">
        <w:rPr>
          <w:rFonts w:ascii="Cambria" w:hAnsi="Cambria"/>
          <w:sz w:val="24"/>
          <w:szCs w:val="24"/>
        </w:rPr>
        <w:t xml:space="preserve"> detaljniji uvid u sadržaj primjedbi. Nadalje, objavljen</w:t>
      </w:r>
      <w:r w:rsidR="00F25D43" w:rsidRPr="00F25D43">
        <w:rPr>
          <w:rFonts w:ascii="Cambria" w:hAnsi="Cambria"/>
          <w:sz w:val="24"/>
          <w:szCs w:val="24"/>
        </w:rPr>
        <w:t>e</w:t>
      </w:r>
      <w:r w:rsidRPr="00F25D43">
        <w:rPr>
          <w:rFonts w:ascii="Cambria" w:hAnsi="Cambria"/>
          <w:sz w:val="24"/>
          <w:szCs w:val="24"/>
        </w:rPr>
        <w:t xml:space="preserve"> </w:t>
      </w:r>
      <w:r w:rsidR="00F25D43" w:rsidRPr="00F25D43">
        <w:rPr>
          <w:rFonts w:ascii="Cambria" w:hAnsi="Cambria"/>
          <w:sz w:val="24"/>
          <w:szCs w:val="24"/>
        </w:rPr>
        <w:t>su</w:t>
      </w:r>
      <w:r w:rsidRPr="00F25D43">
        <w:rPr>
          <w:rFonts w:ascii="Cambria" w:hAnsi="Cambria"/>
          <w:sz w:val="24"/>
          <w:szCs w:val="24"/>
        </w:rPr>
        <w:t xml:space="preserve"> 3</w:t>
      </w:r>
      <w:r w:rsidR="00C134E7" w:rsidRPr="00F25D43">
        <w:rPr>
          <w:rFonts w:ascii="Cambria" w:hAnsi="Cambria"/>
          <w:sz w:val="24"/>
          <w:szCs w:val="24"/>
        </w:rPr>
        <w:t>2</w:t>
      </w:r>
      <w:r w:rsidRPr="00F25D43">
        <w:rPr>
          <w:rFonts w:ascii="Cambria" w:hAnsi="Cambria"/>
          <w:sz w:val="24"/>
          <w:szCs w:val="24"/>
        </w:rPr>
        <w:t xml:space="preserve"> </w:t>
      </w:r>
      <w:r w:rsidR="00F97589" w:rsidRPr="00F25D43">
        <w:rPr>
          <w:rFonts w:ascii="Cambria" w:hAnsi="Cambria"/>
          <w:sz w:val="24"/>
          <w:szCs w:val="24"/>
        </w:rPr>
        <w:t>tablic</w:t>
      </w:r>
      <w:r w:rsidR="00F97589">
        <w:rPr>
          <w:rFonts w:ascii="Cambria" w:hAnsi="Cambria"/>
          <w:sz w:val="24"/>
          <w:szCs w:val="24"/>
        </w:rPr>
        <w:t>e</w:t>
      </w:r>
      <w:r w:rsidR="00F97589" w:rsidRPr="00F25D43">
        <w:rPr>
          <w:rFonts w:ascii="Cambria" w:hAnsi="Cambria"/>
          <w:sz w:val="24"/>
          <w:szCs w:val="24"/>
        </w:rPr>
        <w:t xml:space="preserve"> </w:t>
      </w:r>
      <w:r w:rsidRPr="00F25D43">
        <w:rPr>
          <w:rFonts w:ascii="Cambria" w:hAnsi="Cambria"/>
          <w:sz w:val="24"/>
          <w:szCs w:val="24"/>
        </w:rPr>
        <w:t xml:space="preserve">s obrazloženjima prihvaćenih i neprihvaćenih primjedbi pojedinih sudionika savjetovanja, kao i </w:t>
      </w:r>
      <w:r w:rsidR="00C134E7" w:rsidRPr="00F25D43">
        <w:rPr>
          <w:rFonts w:ascii="Cambria" w:hAnsi="Cambria"/>
          <w:sz w:val="24"/>
          <w:szCs w:val="24"/>
        </w:rPr>
        <w:t>1</w:t>
      </w:r>
      <w:r w:rsidRPr="00F25D43">
        <w:rPr>
          <w:rFonts w:ascii="Cambria" w:hAnsi="Cambria"/>
          <w:sz w:val="24"/>
          <w:szCs w:val="24"/>
        </w:rPr>
        <w:t xml:space="preserve"> sažet</w:t>
      </w:r>
      <w:r w:rsidR="00F25D43" w:rsidRPr="00F25D43">
        <w:rPr>
          <w:rFonts w:ascii="Cambria" w:hAnsi="Cambria"/>
          <w:sz w:val="24"/>
          <w:szCs w:val="24"/>
        </w:rPr>
        <w:t>o</w:t>
      </w:r>
      <w:r w:rsidRPr="00F25D43">
        <w:rPr>
          <w:rFonts w:ascii="Cambria" w:hAnsi="Cambria"/>
          <w:sz w:val="24"/>
          <w:szCs w:val="24"/>
        </w:rPr>
        <w:t xml:space="preserve"> izvješć</w:t>
      </w:r>
      <w:r w:rsidR="00F25D43" w:rsidRPr="00F25D43">
        <w:rPr>
          <w:rFonts w:ascii="Cambria" w:hAnsi="Cambria"/>
          <w:sz w:val="24"/>
          <w:szCs w:val="24"/>
        </w:rPr>
        <w:t>e</w:t>
      </w:r>
      <w:r w:rsidRPr="00F25D43">
        <w:rPr>
          <w:rFonts w:ascii="Cambria" w:hAnsi="Cambria"/>
          <w:sz w:val="24"/>
          <w:szCs w:val="24"/>
        </w:rPr>
        <w:t xml:space="preserve"> o provedenom savjetovanju s osnovnim informacijama o metodama, rezultatima i troškovima savjetovanja</w:t>
      </w:r>
      <w:r w:rsidR="00F25D43" w:rsidRPr="00F25D43">
        <w:rPr>
          <w:rFonts w:ascii="Cambria" w:hAnsi="Cambria"/>
          <w:sz w:val="24"/>
          <w:szCs w:val="24"/>
        </w:rPr>
        <w:t>.</w:t>
      </w:r>
    </w:p>
    <w:p w14:paraId="7F1BB4A1" w14:textId="74D63853" w:rsidR="00D94F06" w:rsidRDefault="00D94F06" w:rsidP="00016B55">
      <w:pPr>
        <w:jc w:val="both"/>
        <w:rPr>
          <w:rFonts w:ascii="Cambria" w:hAnsi="Cambria"/>
          <w:sz w:val="24"/>
          <w:szCs w:val="24"/>
        </w:rPr>
      </w:pPr>
    </w:p>
    <w:p w14:paraId="208C7AFE" w14:textId="78C691D9" w:rsidR="004E71D2" w:rsidRDefault="004E71D2" w:rsidP="006625FB">
      <w:pPr>
        <w:rPr>
          <w:rFonts w:ascii="Cambria" w:hAnsi="Cambria"/>
          <w:b/>
        </w:rPr>
      </w:pPr>
      <w:r w:rsidRPr="004E71D2">
        <w:rPr>
          <w:rFonts w:ascii="Cambria" w:hAnsi="Cambria"/>
          <w:b/>
        </w:rPr>
        <w:t>Grafički prikaz 9. Način izvještavanja o provedenim savjetovanjima</w:t>
      </w:r>
      <w:r w:rsidR="00EE1905">
        <w:rPr>
          <w:rFonts w:ascii="Cambria" w:hAnsi="Cambria"/>
          <w:b/>
        </w:rPr>
        <w:t xml:space="preserve"> izvan sustava e-savjetovanja</w:t>
      </w:r>
    </w:p>
    <w:p w14:paraId="48572BDA" w14:textId="77777777" w:rsidR="004E71D2" w:rsidRPr="004E71D2" w:rsidRDefault="004E71D2" w:rsidP="006625FB">
      <w:pPr>
        <w:rPr>
          <w:rFonts w:ascii="Cambria" w:hAnsi="Cambria"/>
          <w:b/>
        </w:rPr>
      </w:pPr>
      <w:r w:rsidRPr="00131432">
        <w:rPr>
          <w:noProof/>
          <w:lang w:eastAsia="hr-HR"/>
        </w:rPr>
        <w:drawing>
          <wp:inline distT="0" distB="0" distL="0" distR="0" wp14:anchorId="388288CD" wp14:editId="02C6E5DC">
            <wp:extent cx="5943600" cy="1844675"/>
            <wp:effectExtent l="57150" t="19050" r="57150" b="984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33A3245" w14:textId="77777777" w:rsidR="00D7027C" w:rsidRPr="00D7027C" w:rsidRDefault="00D7027C" w:rsidP="00D7027C"/>
    <w:p w14:paraId="7AA7665E" w14:textId="77777777" w:rsidR="003525C7" w:rsidRDefault="00EC220C" w:rsidP="00015400">
      <w:pPr>
        <w:pStyle w:val="Heading1"/>
        <w:rPr>
          <w:b/>
        </w:rPr>
      </w:pPr>
      <w:bookmarkStart w:id="19" w:name="_Toc4076878"/>
      <w:r w:rsidRPr="00015400">
        <w:rPr>
          <w:b/>
        </w:rPr>
        <w:t xml:space="preserve">5. </w:t>
      </w:r>
      <w:r w:rsidR="00A6306B" w:rsidRPr="00015400">
        <w:rPr>
          <w:b/>
        </w:rPr>
        <w:t>DALJNJI RAZVOJ SAVJETOVANJA SA ZAINTERESIRANOM JAVNOŠĆU U 2019. GODINI</w:t>
      </w:r>
      <w:bookmarkEnd w:id="19"/>
    </w:p>
    <w:p w14:paraId="62484474" w14:textId="77777777" w:rsidR="002541F2" w:rsidRPr="002541F2" w:rsidRDefault="002541F2" w:rsidP="002541F2">
      <w:pPr>
        <w:rPr>
          <w:b/>
        </w:rPr>
      </w:pPr>
    </w:p>
    <w:p w14:paraId="030F142C" w14:textId="6509E572" w:rsidR="00A6306B" w:rsidRDefault="00443C57" w:rsidP="003525C7">
      <w:pPr>
        <w:jc w:val="both"/>
        <w:rPr>
          <w:rFonts w:ascii="Cambria" w:hAnsi="Cambria"/>
          <w:sz w:val="24"/>
          <w:szCs w:val="24"/>
        </w:rPr>
      </w:pPr>
      <w:r>
        <w:rPr>
          <w:rFonts w:ascii="Cambria" w:hAnsi="Cambria"/>
          <w:sz w:val="24"/>
          <w:szCs w:val="24"/>
        </w:rPr>
        <w:t>K</w:t>
      </w:r>
      <w:r w:rsidR="003525C7" w:rsidRPr="00AB758C">
        <w:rPr>
          <w:rFonts w:ascii="Cambria" w:hAnsi="Cambria"/>
          <w:sz w:val="24"/>
          <w:szCs w:val="24"/>
        </w:rPr>
        <w:t xml:space="preserve">ao jedan od ključnih projekata u pogledu razvoja sustava savjetovanja s javnošću ističe se </w:t>
      </w:r>
      <w:r w:rsidR="00F97589">
        <w:rPr>
          <w:rFonts w:ascii="Cambria" w:hAnsi="Cambria"/>
          <w:sz w:val="24"/>
          <w:szCs w:val="24"/>
        </w:rPr>
        <w:t>prenošenje</w:t>
      </w:r>
      <w:r w:rsidR="003525C7" w:rsidRPr="00AB758C">
        <w:rPr>
          <w:rFonts w:ascii="Cambria" w:hAnsi="Cambria"/>
          <w:sz w:val="24"/>
          <w:szCs w:val="24"/>
        </w:rPr>
        <w:t xml:space="preserve"> sustava e-</w:t>
      </w:r>
      <w:r>
        <w:rPr>
          <w:rFonts w:ascii="Cambria" w:hAnsi="Cambria"/>
          <w:sz w:val="24"/>
          <w:szCs w:val="24"/>
        </w:rPr>
        <w:t>S</w:t>
      </w:r>
      <w:r w:rsidR="003525C7" w:rsidRPr="00AB758C">
        <w:rPr>
          <w:rFonts w:ascii="Cambria" w:hAnsi="Cambria"/>
          <w:sz w:val="24"/>
          <w:szCs w:val="24"/>
        </w:rPr>
        <w:t>avjetovanja na lokalnu i regionalnu razinu. U 2019.</w:t>
      </w:r>
      <w:r w:rsidR="00F97589">
        <w:rPr>
          <w:rFonts w:ascii="Cambria" w:hAnsi="Cambria"/>
          <w:sz w:val="24"/>
          <w:szCs w:val="24"/>
        </w:rPr>
        <w:t>,</w:t>
      </w:r>
      <w:r w:rsidR="003525C7" w:rsidRPr="00AB758C">
        <w:rPr>
          <w:rFonts w:ascii="Cambria" w:hAnsi="Cambria"/>
          <w:sz w:val="24"/>
          <w:szCs w:val="24"/>
        </w:rPr>
        <w:t xml:space="preserve"> Ured za udruge sukladno Akcijskom planu Partnerstva za otvorenu vlast</w:t>
      </w:r>
      <w:r w:rsidR="00A6306B">
        <w:rPr>
          <w:rFonts w:ascii="Cambria" w:hAnsi="Cambria"/>
          <w:sz w:val="24"/>
          <w:szCs w:val="24"/>
        </w:rPr>
        <w:t xml:space="preserve"> za razdoblje do 2020. godine</w:t>
      </w:r>
      <w:r w:rsidR="003525C7" w:rsidRPr="00AB758C">
        <w:rPr>
          <w:rFonts w:ascii="Cambria" w:hAnsi="Cambria"/>
          <w:sz w:val="24"/>
          <w:szCs w:val="24"/>
        </w:rPr>
        <w:t>, a u suradnji s nacionalnim udrugama lokalne i regionalne samouprave</w:t>
      </w:r>
      <w:r>
        <w:rPr>
          <w:rFonts w:ascii="Cambria" w:hAnsi="Cambria"/>
          <w:sz w:val="24"/>
          <w:szCs w:val="24"/>
        </w:rPr>
        <w:t>,</w:t>
      </w:r>
      <w:r w:rsidR="003525C7" w:rsidRPr="00AB758C">
        <w:rPr>
          <w:rFonts w:ascii="Cambria" w:hAnsi="Cambria"/>
          <w:sz w:val="24"/>
          <w:szCs w:val="24"/>
        </w:rPr>
        <w:t xml:space="preserve"> planira </w:t>
      </w:r>
      <w:r>
        <w:rPr>
          <w:rFonts w:ascii="Cambria" w:hAnsi="Cambria"/>
          <w:sz w:val="24"/>
          <w:szCs w:val="24"/>
        </w:rPr>
        <w:t>pružiti podršku uspostavi</w:t>
      </w:r>
      <w:r w:rsidR="003525C7" w:rsidRPr="00AB758C">
        <w:rPr>
          <w:rFonts w:ascii="Cambria" w:hAnsi="Cambria"/>
          <w:sz w:val="24"/>
          <w:szCs w:val="24"/>
        </w:rPr>
        <w:t xml:space="preserve"> internetsk</w:t>
      </w:r>
      <w:r>
        <w:rPr>
          <w:rFonts w:ascii="Cambria" w:hAnsi="Cambria"/>
          <w:sz w:val="24"/>
          <w:szCs w:val="24"/>
        </w:rPr>
        <w:t>og</w:t>
      </w:r>
      <w:r w:rsidR="003525C7" w:rsidRPr="00AB758C">
        <w:rPr>
          <w:rFonts w:ascii="Cambria" w:hAnsi="Cambria"/>
          <w:sz w:val="24"/>
          <w:szCs w:val="24"/>
        </w:rPr>
        <w:t xml:space="preserve"> sustav</w:t>
      </w:r>
      <w:r>
        <w:rPr>
          <w:rFonts w:ascii="Cambria" w:hAnsi="Cambria"/>
          <w:sz w:val="24"/>
          <w:szCs w:val="24"/>
        </w:rPr>
        <w:t>a</w:t>
      </w:r>
      <w:r w:rsidR="00A6306B">
        <w:rPr>
          <w:rFonts w:ascii="Cambria" w:hAnsi="Cambria"/>
          <w:sz w:val="24"/>
          <w:szCs w:val="24"/>
        </w:rPr>
        <w:t xml:space="preserve"> </w:t>
      </w:r>
      <w:r w:rsidR="003525C7" w:rsidRPr="00AB758C">
        <w:rPr>
          <w:rFonts w:ascii="Cambria" w:hAnsi="Cambria"/>
          <w:sz w:val="24"/>
          <w:szCs w:val="24"/>
        </w:rPr>
        <w:t>e</w:t>
      </w:r>
      <w:r w:rsidR="00A6306B">
        <w:rPr>
          <w:rFonts w:ascii="Cambria" w:hAnsi="Cambria"/>
          <w:sz w:val="24"/>
          <w:szCs w:val="24"/>
        </w:rPr>
        <w:t>-</w:t>
      </w:r>
      <w:r>
        <w:rPr>
          <w:rFonts w:ascii="Cambria" w:hAnsi="Cambria"/>
          <w:sz w:val="24"/>
          <w:szCs w:val="24"/>
        </w:rPr>
        <w:t>S</w:t>
      </w:r>
      <w:r w:rsidR="003525C7" w:rsidRPr="00AB758C">
        <w:rPr>
          <w:rFonts w:ascii="Cambria" w:hAnsi="Cambria"/>
          <w:sz w:val="24"/>
          <w:szCs w:val="24"/>
        </w:rPr>
        <w:t>avjetovanja sa zainteresiranom javnošću u donošenju odluka na lokalnoj i regionalnoj razini. Imajući u vidu važnost odluka</w:t>
      </w:r>
      <w:r w:rsidR="00A6306B">
        <w:rPr>
          <w:rFonts w:ascii="Cambria" w:hAnsi="Cambria"/>
          <w:sz w:val="24"/>
          <w:szCs w:val="24"/>
        </w:rPr>
        <w:t xml:space="preserve"> kojima se utječe na život građana, a </w:t>
      </w:r>
      <w:r w:rsidR="003525C7" w:rsidRPr="00AB758C">
        <w:rPr>
          <w:rFonts w:ascii="Cambria" w:hAnsi="Cambria"/>
          <w:sz w:val="24"/>
          <w:szCs w:val="24"/>
        </w:rPr>
        <w:t xml:space="preserve"> koje se donose na lokalnoj i regionalnoj razini</w:t>
      </w:r>
      <w:r w:rsidR="00F97589">
        <w:rPr>
          <w:rFonts w:ascii="Cambria" w:hAnsi="Cambria"/>
          <w:sz w:val="24"/>
          <w:szCs w:val="24"/>
        </w:rPr>
        <w:t>,</w:t>
      </w:r>
      <w:r w:rsidR="003525C7" w:rsidRPr="00AB758C">
        <w:rPr>
          <w:rFonts w:ascii="Cambria" w:hAnsi="Cambria"/>
          <w:sz w:val="24"/>
          <w:szCs w:val="24"/>
        </w:rPr>
        <w:t xml:space="preserve"> </w:t>
      </w:r>
      <w:r w:rsidR="00A6306B">
        <w:rPr>
          <w:rFonts w:ascii="Cambria" w:hAnsi="Cambria"/>
          <w:sz w:val="24"/>
          <w:szCs w:val="24"/>
        </w:rPr>
        <w:t xml:space="preserve">ovaj projekt imat će izniman utjecaj </w:t>
      </w:r>
      <w:r w:rsidR="00F97589">
        <w:rPr>
          <w:rFonts w:ascii="Cambria" w:hAnsi="Cambria"/>
          <w:sz w:val="24"/>
          <w:szCs w:val="24"/>
        </w:rPr>
        <w:t xml:space="preserve">na </w:t>
      </w:r>
      <w:r>
        <w:rPr>
          <w:rFonts w:ascii="Cambria" w:hAnsi="Cambria"/>
          <w:sz w:val="24"/>
          <w:szCs w:val="24"/>
        </w:rPr>
        <w:t>jačanje transparentnosti rada jedinica lokalne i područne samouprave.</w:t>
      </w:r>
      <w:r w:rsidR="003525C7" w:rsidRPr="00AB758C">
        <w:rPr>
          <w:rFonts w:ascii="Cambria" w:hAnsi="Cambria"/>
          <w:sz w:val="24"/>
          <w:szCs w:val="24"/>
        </w:rPr>
        <w:t xml:space="preserve"> </w:t>
      </w:r>
    </w:p>
    <w:p w14:paraId="74857E60" w14:textId="738B6C9A" w:rsidR="0060497E" w:rsidRPr="00AB758C" w:rsidRDefault="003525C7" w:rsidP="003525C7">
      <w:pPr>
        <w:jc w:val="both"/>
        <w:rPr>
          <w:rFonts w:ascii="Cambria" w:hAnsi="Cambria"/>
          <w:sz w:val="24"/>
          <w:szCs w:val="24"/>
        </w:rPr>
      </w:pPr>
      <w:r w:rsidRPr="00AB758C">
        <w:rPr>
          <w:rFonts w:ascii="Cambria" w:hAnsi="Cambria"/>
          <w:sz w:val="24"/>
          <w:szCs w:val="24"/>
        </w:rPr>
        <w:t xml:space="preserve">Ured za udruge svakako će u 2019. raditi i na tehničkom i sadržajnom </w:t>
      </w:r>
      <w:r w:rsidR="00AB758C" w:rsidRPr="00AB758C">
        <w:rPr>
          <w:rFonts w:ascii="Cambria" w:hAnsi="Cambria"/>
          <w:sz w:val="24"/>
          <w:szCs w:val="24"/>
        </w:rPr>
        <w:t>unaprjeđenj</w:t>
      </w:r>
      <w:r w:rsidR="00AB758C">
        <w:rPr>
          <w:rFonts w:ascii="Cambria" w:hAnsi="Cambria"/>
          <w:sz w:val="24"/>
          <w:szCs w:val="24"/>
        </w:rPr>
        <w:t>u</w:t>
      </w:r>
      <w:r w:rsidRPr="00AB758C">
        <w:rPr>
          <w:rFonts w:ascii="Cambria" w:hAnsi="Cambria"/>
          <w:sz w:val="24"/>
          <w:szCs w:val="24"/>
        </w:rPr>
        <w:t xml:space="preserve"> portala e-Savjetovanja. Prva planiran</w:t>
      </w:r>
      <w:r w:rsidR="00A6306B">
        <w:rPr>
          <w:rFonts w:ascii="Cambria" w:hAnsi="Cambria"/>
          <w:sz w:val="24"/>
          <w:szCs w:val="24"/>
        </w:rPr>
        <w:t>a</w:t>
      </w:r>
      <w:r w:rsidRPr="00AB758C">
        <w:rPr>
          <w:rFonts w:ascii="Cambria" w:hAnsi="Cambria"/>
          <w:sz w:val="24"/>
          <w:szCs w:val="24"/>
        </w:rPr>
        <w:t xml:space="preserve"> </w:t>
      </w:r>
      <w:r w:rsidR="00AB758C" w:rsidRPr="00AB758C">
        <w:rPr>
          <w:rFonts w:ascii="Cambria" w:hAnsi="Cambria"/>
          <w:sz w:val="24"/>
          <w:szCs w:val="24"/>
        </w:rPr>
        <w:t>unaprjeđenja</w:t>
      </w:r>
      <w:r w:rsidR="00A6306B">
        <w:rPr>
          <w:rFonts w:ascii="Cambria" w:hAnsi="Cambria"/>
          <w:sz w:val="24"/>
          <w:szCs w:val="24"/>
        </w:rPr>
        <w:t xml:space="preserve"> sustava bit će implementirana</w:t>
      </w:r>
      <w:r w:rsidRPr="00AB758C">
        <w:rPr>
          <w:rFonts w:ascii="Cambria" w:hAnsi="Cambria"/>
          <w:sz w:val="24"/>
          <w:szCs w:val="24"/>
        </w:rPr>
        <w:t xml:space="preserve"> u prvoj polovici </w:t>
      </w:r>
      <w:r w:rsidRPr="00AB758C">
        <w:rPr>
          <w:rFonts w:ascii="Cambria" w:hAnsi="Cambria"/>
          <w:sz w:val="24"/>
          <w:szCs w:val="24"/>
        </w:rPr>
        <w:lastRenderedPageBreak/>
        <w:t>2019.</w:t>
      </w:r>
      <w:r w:rsidR="00443C57">
        <w:rPr>
          <w:rFonts w:ascii="Cambria" w:hAnsi="Cambria"/>
          <w:sz w:val="24"/>
          <w:szCs w:val="24"/>
        </w:rPr>
        <w:t>, a unaprjeđenja će se fokusirati na pojednostavljenje rada u aplikaciji, kako za same korisnike (mogućnost praćenja savjetovanj</w:t>
      </w:r>
      <w:r w:rsidR="00D3616E">
        <w:rPr>
          <w:rFonts w:ascii="Cambria" w:hAnsi="Cambria"/>
          <w:sz w:val="24"/>
          <w:szCs w:val="24"/>
        </w:rPr>
        <w:t>a pojedin</w:t>
      </w:r>
      <w:r w:rsidR="00FD137E">
        <w:rPr>
          <w:rFonts w:ascii="Cambria" w:hAnsi="Cambria"/>
          <w:sz w:val="24"/>
          <w:szCs w:val="24"/>
        </w:rPr>
        <w:t>ih</w:t>
      </w:r>
      <w:r w:rsidR="00D3616E">
        <w:rPr>
          <w:rFonts w:ascii="Cambria" w:hAnsi="Cambria"/>
          <w:sz w:val="24"/>
          <w:szCs w:val="24"/>
        </w:rPr>
        <w:t xml:space="preserve"> državnih tijela,</w:t>
      </w:r>
      <w:r w:rsidR="00D3616E" w:rsidRPr="00D3616E">
        <w:t xml:space="preserve"> </w:t>
      </w:r>
      <w:r w:rsidR="00D3616E">
        <w:rPr>
          <w:rFonts w:ascii="Cambria" w:hAnsi="Cambria"/>
          <w:sz w:val="24"/>
          <w:szCs w:val="24"/>
        </w:rPr>
        <w:t>m</w:t>
      </w:r>
      <w:r w:rsidR="00D3616E" w:rsidRPr="00D3616E">
        <w:rPr>
          <w:rFonts w:ascii="Cambria" w:hAnsi="Cambria"/>
          <w:sz w:val="24"/>
          <w:szCs w:val="24"/>
        </w:rPr>
        <w:t>ogućnost potpunog uklanjanja komentara od strane korisnika</w:t>
      </w:r>
      <w:r w:rsidR="00D3616E">
        <w:rPr>
          <w:rFonts w:ascii="Cambria" w:hAnsi="Cambria"/>
          <w:sz w:val="24"/>
          <w:szCs w:val="24"/>
        </w:rPr>
        <w:t>…)</w:t>
      </w:r>
      <w:r w:rsidR="00F97589">
        <w:rPr>
          <w:rFonts w:ascii="Cambria" w:hAnsi="Cambria"/>
          <w:sz w:val="24"/>
          <w:szCs w:val="24"/>
        </w:rPr>
        <w:t>,</w:t>
      </w:r>
      <w:r w:rsidR="00D3616E">
        <w:rPr>
          <w:rFonts w:ascii="Cambria" w:hAnsi="Cambria"/>
          <w:sz w:val="24"/>
          <w:szCs w:val="24"/>
        </w:rPr>
        <w:t xml:space="preserve"> tako i za nadležne službenike u državnim tijelima (efikasnija provedba savjetovanja u sklopu procjene učinaka propisa, dodatne mogućnosti u sklopu  analize dostavljenih primjedbi itd.)</w:t>
      </w:r>
      <w:r w:rsidR="00A6306B">
        <w:rPr>
          <w:rFonts w:ascii="Cambria" w:hAnsi="Cambria"/>
          <w:sz w:val="24"/>
          <w:szCs w:val="24"/>
        </w:rPr>
        <w:t xml:space="preserve">. </w:t>
      </w:r>
      <w:r w:rsidR="00F97589">
        <w:rPr>
          <w:rFonts w:ascii="Cambria" w:hAnsi="Cambria"/>
          <w:sz w:val="24"/>
          <w:szCs w:val="24"/>
        </w:rPr>
        <w:t>P</w:t>
      </w:r>
      <w:r w:rsidRPr="00AB758C">
        <w:rPr>
          <w:rFonts w:ascii="Cambria" w:hAnsi="Cambria"/>
          <w:sz w:val="24"/>
          <w:szCs w:val="24"/>
        </w:rPr>
        <w:t xml:space="preserve">lanira se putem aplikacije korisnicima uputiti </w:t>
      </w:r>
      <w:r w:rsidR="00FD137E" w:rsidRPr="00AB758C">
        <w:rPr>
          <w:rFonts w:ascii="Cambria" w:hAnsi="Cambria"/>
          <w:sz w:val="24"/>
          <w:szCs w:val="24"/>
        </w:rPr>
        <w:t xml:space="preserve">i </w:t>
      </w:r>
      <w:r w:rsidR="00443C57">
        <w:rPr>
          <w:rFonts w:ascii="Cambria" w:hAnsi="Cambria"/>
          <w:sz w:val="24"/>
          <w:szCs w:val="24"/>
        </w:rPr>
        <w:t>u</w:t>
      </w:r>
      <w:r w:rsidR="0060497E" w:rsidRPr="00AB758C">
        <w:rPr>
          <w:rFonts w:ascii="Cambria" w:hAnsi="Cambria"/>
          <w:sz w:val="24"/>
          <w:szCs w:val="24"/>
        </w:rPr>
        <w:t>pitnik o zadovoljstvu korisnika</w:t>
      </w:r>
      <w:r w:rsidRPr="00AB758C">
        <w:rPr>
          <w:rFonts w:ascii="Cambria" w:hAnsi="Cambria"/>
          <w:sz w:val="24"/>
          <w:szCs w:val="24"/>
        </w:rPr>
        <w:t xml:space="preserve"> koji će biti temelj za buduća unaprjeđenja sustava.</w:t>
      </w:r>
    </w:p>
    <w:p w14:paraId="404E1107" w14:textId="46D2492E" w:rsidR="00C305BC" w:rsidRPr="00AB758C" w:rsidRDefault="00AB758C" w:rsidP="00D3616E">
      <w:pPr>
        <w:jc w:val="both"/>
        <w:rPr>
          <w:rFonts w:ascii="Cambria" w:hAnsi="Cambria"/>
          <w:sz w:val="24"/>
          <w:szCs w:val="24"/>
        </w:rPr>
      </w:pPr>
      <w:r w:rsidRPr="00D3616E">
        <w:rPr>
          <w:rFonts w:ascii="Cambria" w:hAnsi="Cambria"/>
          <w:sz w:val="24"/>
          <w:szCs w:val="24"/>
        </w:rPr>
        <w:t xml:space="preserve">Imajući u vidu da </w:t>
      </w:r>
      <w:r w:rsidR="00FD137E">
        <w:rPr>
          <w:rFonts w:ascii="Cambria" w:hAnsi="Cambria"/>
          <w:sz w:val="24"/>
          <w:szCs w:val="24"/>
        </w:rPr>
        <w:t>ć</w:t>
      </w:r>
      <w:r w:rsidRPr="00D3616E">
        <w:rPr>
          <w:rFonts w:ascii="Cambria" w:hAnsi="Cambria"/>
          <w:sz w:val="24"/>
          <w:szCs w:val="24"/>
        </w:rPr>
        <w:t xml:space="preserve">e 2019. </w:t>
      </w:r>
      <w:r w:rsidR="00FD137E">
        <w:rPr>
          <w:rFonts w:ascii="Cambria" w:hAnsi="Cambria"/>
          <w:sz w:val="24"/>
          <w:szCs w:val="24"/>
        </w:rPr>
        <w:t xml:space="preserve">biti </w:t>
      </w:r>
      <w:r w:rsidRPr="00D3616E">
        <w:rPr>
          <w:rFonts w:ascii="Cambria" w:hAnsi="Cambria"/>
          <w:sz w:val="24"/>
          <w:szCs w:val="24"/>
        </w:rPr>
        <w:t>puni</w:t>
      </w:r>
      <w:r w:rsidR="00FD137E">
        <w:rPr>
          <w:rFonts w:ascii="Cambria" w:hAnsi="Cambria"/>
          <w:sz w:val="24"/>
          <w:szCs w:val="24"/>
        </w:rPr>
        <w:t>h</w:t>
      </w:r>
      <w:r w:rsidRPr="00D3616E">
        <w:rPr>
          <w:rFonts w:ascii="Cambria" w:hAnsi="Cambria"/>
          <w:sz w:val="24"/>
          <w:szCs w:val="24"/>
        </w:rPr>
        <w:t xml:space="preserve"> 10 godina od donošenj</w:t>
      </w:r>
      <w:r w:rsidR="00D3616E">
        <w:rPr>
          <w:rFonts w:ascii="Cambria" w:hAnsi="Cambria"/>
          <w:sz w:val="24"/>
          <w:szCs w:val="24"/>
        </w:rPr>
        <w:t>a</w:t>
      </w:r>
      <w:r w:rsidRPr="00D3616E">
        <w:rPr>
          <w:rFonts w:ascii="Cambria" w:hAnsi="Cambria"/>
          <w:sz w:val="24"/>
          <w:szCs w:val="24"/>
        </w:rPr>
        <w:t xml:space="preserve"> Kodeksa savjetovanja </w:t>
      </w:r>
      <w:r w:rsidR="00F97589">
        <w:rPr>
          <w:rFonts w:ascii="Cambria" w:hAnsi="Cambria"/>
          <w:sz w:val="24"/>
          <w:szCs w:val="24"/>
        </w:rPr>
        <w:t>s</w:t>
      </w:r>
      <w:r w:rsidR="00F97589" w:rsidRPr="00D3616E">
        <w:rPr>
          <w:rFonts w:ascii="Cambria" w:hAnsi="Cambria"/>
          <w:sz w:val="24"/>
          <w:szCs w:val="24"/>
        </w:rPr>
        <w:t xml:space="preserve">a </w:t>
      </w:r>
      <w:r w:rsidR="00A6306B" w:rsidRPr="00D3616E">
        <w:rPr>
          <w:rFonts w:ascii="Cambria" w:hAnsi="Cambria"/>
          <w:sz w:val="24"/>
          <w:szCs w:val="24"/>
        </w:rPr>
        <w:t>zainteresiranom javnošću u postupcima donošenja zakona, drugih propisa i akata</w:t>
      </w:r>
      <w:r w:rsidR="00C610C8">
        <w:rPr>
          <w:rFonts w:ascii="Cambria" w:hAnsi="Cambria"/>
          <w:sz w:val="24"/>
          <w:szCs w:val="24"/>
        </w:rPr>
        <w:t>,</w:t>
      </w:r>
      <w:r w:rsidR="00A6306B" w:rsidRPr="00D3616E">
        <w:rPr>
          <w:rFonts w:ascii="Cambria" w:hAnsi="Cambria"/>
          <w:sz w:val="24"/>
          <w:szCs w:val="24"/>
        </w:rPr>
        <w:t xml:space="preserve"> </w:t>
      </w:r>
      <w:r w:rsidRPr="00D3616E">
        <w:rPr>
          <w:rFonts w:ascii="Cambria" w:hAnsi="Cambria"/>
          <w:sz w:val="24"/>
          <w:szCs w:val="24"/>
        </w:rPr>
        <w:t xml:space="preserve">potrebno je sukladno novim okolnostima i napretku </w:t>
      </w:r>
      <w:r w:rsidR="00A6306B" w:rsidRPr="00D3616E">
        <w:rPr>
          <w:rFonts w:ascii="Cambria" w:hAnsi="Cambria"/>
          <w:sz w:val="24"/>
          <w:szCs w:val="24"/>
        </w:rPr>
        <w:t>u razvoju sustava savjetovanja s</w:t>
      </w:r>
      <w:r w:rsidR="00C610C8">
        <w:rPr>
          <w:rFonts w:ascii="Cambria" w:hAnsi="Cambria"/>
          <w:sz w:val="24"/>
          <w:szCs w:val="24"/>
        </w:rPr>
        <w:t>a</w:t>
      </w:r>
      <w:r w:rsidR="00A6306B" w:rsidRPr="00D3616E">
        <w:rPr>
          <w:rFonts w:ascii="Cambria" w:hAnsi="Cambria"/>
          <w:sz w:val="24"/>
          <w:szCs w:val="24"/>
        </w:rPr>
        <w:t xml:space="preserve"> zainteresiranom javnošću </w:t>
      </w:r>
      <w:r w:rsidRPr="00D3616E">
        <w:rPr>
          <w:rFonts w:ascii="Cambria" w:hAnsi="Cambria"/>
          <w:sz w:val="24"/>
          <w:szCs w:val="24"/>
        </w:rPr>
        <w:t>revidirati i dopuniti Kodeks</w:t>
      </w:r>
      <w:r w:rsidR="00D3616E">
        <w:rPr>
          <w:rFonts w:ascii="Cambria" w:hAnsi="Cambria"/>
          <w:sz w:val="24"/>
          <w:szCs w:val="24"/>
        </w:rPr>
        <w:t>, što će biti aktivnost koju će inicirati Ured za udruge.</w:t>
      </w:r>
    </w:p>
    <w:p w14:paraId="64ED9300" w14:textId="77777777" w:rsidR="00D94F06" w:rsidRDefault="00D94F06" w:rsidP="00015400">
      <w:pPr>
        <w:pStyle w:val="Heading1"/>
        <w:rPr>
          <w:b/>
        </w:rPr>
      </w:pPr>
    </w:p>
    <w:p w14:paraId="0DF01688" w14:textId="77777777" w:rsidR="00EC220C" w:rsidRPr="00015400" w:rsidRDefault="00EC220C" w:rsidP="00015400">
      <w:pPr>
        <w:pStyle w:val="Heading1"/>
        <w:rPr>
          <w:b/>
        </w:rPr>
      </w:pPr>
      <w:bookmarkStart w:id="20" w:name="_Toc4076879"/>
      <w:r w:rsidRPr="00015400">
        <w:rPr>
          <w:b/>
        </w:rPr>
        <w:t xml:space="preserve">6. </w:t>
      </w:r>
      <w:r w:rsidR="00A6306B" w:rsidRPr="00015400">
        <w:rPr>
          <w:b/>
        </w:rPr>
        <w:t>ZAKLJUČNA RAZMATRANJA</w:t>
      </w:r>
      <w:bookmarkEnd w:id="20"/>
    </w:p>
    <w:p w14:paraId="4E9D22D7" w14:textId="77777777" w:rsidR="00A27695" w:rsidRDefault="00A27695">
      <w:pPr>
        <w:rPr>
          <w:rFonts w:ascii="Cambria" w:hAnsi="Cambria"/>
          <w:sz w:val="24"/>
          <w:szCs w:val="24"/>
        </w:rPr>
      </w:pPr>
    </w:p>
    <w:p w14:paraId="7D4E7E39" w14:textId="384DC1AB" w:rsidR="00A61EEA" w:rsidRPr="00F25D43" w:rsidRDefault="00A27695" w:rsidP="006051E6">
      <w:pPr>
        <w:jc w:val="both"/>
        <w:rPr>
          <w:rFonts w:ascii="Cambria" w:hAnsi="Cambria"/>
          <w:sz w:val="24"/>
          <w:szCs w:val="24"/>
        </w:rPr>
      </w:pPr>
      <w:r w:rsidRPr="00F25D43">
        <w:rPr>
          <w:rFonts w:ascii="Cambria" w:hAnsi="Cambria"/>
          <w:sz w:val="24"/>
          <w:szCs w:val="24"/>
        </w:rPr>
        <w:t xml:space="preserve">Sumirajući sve podatke </w:t>
      </w:r>
      <w:r w:rsidR="00871385">
        <w:rPr>
          <w:rFonts w:ascii="Cambria" w:hAnsi="Cambria"/>
          <w:sz w:val="24"/>
          <w:szCs w:val="24"/>
        </w:rPr>
        <w:t>sadržane u</w:t>
      </w:r>
      <w:r w:rsidRPr="00F25D43">
        <w:rPr>
          <w:rFonts w:ascii="Cambria" w:hAnsi="Cambria"/>
          <w:sz w:val="24"/>
          <w:szCs w:val="24"/>
        </w:rPr>
        <w:t xml:space="preserve"> Izvješć</w:t>
      </w:r>
      <w:r w:rsidR="00871385">
        <w:rPr>
          <w:rFonts w:ascii="Cambria" w:hAnsi="Cambria"/>
          <w:sz w:val="24"/>
          <w:szCs w:val="24"/>
        </w:rPr>
        <w:t>u</w:t>
      </w:r>
      <w:r w:rsidRPr="00F25D43">
        <w:t xml:space="preserve"> </w:t>
      </w:r>
      <w:r w:rsidRPr="00F25D43">
        <w:rPr>
          <w:rFonts w:ascii="Cambria" w:hAnsi="Cambria"/>
          <w:sz w:val="24"/>
          <w:szCs w:val="24"/>
        </w:rPr>
        <w:t>o provedbi savjetovanja sa zainteresiranom javnošću u postupcima donošenja zakona, drugih propisa i akata u 2018. godini</w:t>
      </w:r>
      <w:r w:rsidR="00871385">
        <w:rPr>
          <w:rFonts w:ascii="Cambria" w:hAnsi="Cambria"/>
          <w:sz w:val="24"/>
          <w:szCs w:val="24"/>
        </w:rPr>
        <w:t xml:space="preserve"> </w:t>
      </w:r>
      <w:r w:rsidR="00871385" w:rsidRPr="00F25D43">
        <w:rPr>
          <w:rFonts w:ascii="Cambria" w:hAnsi="Cambria"/>
          <w:sz w:val="24"/>
          <w:szCs w:val="24"/>
        </w:rPr>
        <w:t xml:space="preserve">koje je </w:t>
      </w:r>
      <w:r w:rsidR="00871385">
        <w:rPr>
          <w:rFonts w:ascii="Cambria" w:hAnsi="Cambria"/>
          <w:sz w:val="24"/>
          <w:szCs w:val="24"/>
        </w:rPr>
        <w:t xml:space="preserve">prikupio </w:t>
      </w:r>
      <w:r w:rsidR="00871385" w:rsidRPr="00F25D43">
        <w:rPr>
          <w:rFonts w:ascii="Cambria" w:hAnsi="Cambria"/>
          <w:sz w:val="24"/>
          <w:szCs w:val="24"/>
        </w:rPr>
        <w:t>Ured za udruge</w:t>
      </w:r>
      <w:r w:rsidR="00F27FDD">
        <w:rPr>
          <w:rFonts w:ascii="Cambria" w:hAnsi="Cambria"/>
          <w:sz w:val="24"/>
          <w:szCs w:val="24"/>
        </w:rPr>
        <w:t>,</w:t>
      </w:r>
      <w:r w:rsidRPr="00F25D43">
        <w:rPr>
          <w:rFonts w:ascii="Cambria" w:hAnsi="Cambria"/>
          <w:sz w:val="24"/>
          <w:szCs w:val="24"/>
        </w:rPr>
        <w:t xml:space="preserve"> vidljiv </w:t>
      </w:r>
      <w:r w:rsidR="00A61EEA" w:rsidRPr="00F25D43">
        <w:rPr>
          <w:rFonts w:ascii="Cambria" w:hAnsi="Cambria"/>
          <w:sz w:val="24"/>
          <w:szCs w:val="24"/>
        </w:rPr>
        <w:t xml:space="preserve">je napredak </w:t>
      </w:r>
      <w:r w:rsidRPr="00F25D43">
        <w:rPr>
          <w:rFonts w:ascii="Cambria" w:hAnsi="Cambria"/>
          <w:sz w:val="24"/>
          <w:szCs w:val="24"/>
        </w:rPr>
        <w:t>u povećanju broja savjetovanja što je višegodišnji trend koji pokazuje da su državna tijela usvojila obvezu provedbe savjetovanj</w:t>
      </w:r>
      <w:r w:rsidR="004670C1" w:rsidRPr="00F25D43">
        <w:rPr>
          <w:rFonts w:ascii="Cambria" w:hAnsi="Cambria"/>
          <w:sz w:val="24"/>
          <w:szCs w:val="24"/>
        </w:rPr>
        <w:t>a s javnošću.</w:t>
      </w:r>
    </w:p>
    <w:p w14:paraId="474D5508" w14:textId="75DAF9E4" w:rsidR="00C90731" w:rsidRPr="00F25D43" w:rsidRDefault="004670C1" w:rsidP="006051E6">
      <w:pPr>
        <w:jc w:val="both"/>
        <w:rPr>
          <w:rFonts w:ascii="Cambria" w:hAnsi="Cambria"/>
          <w:sz w:val="24"/>
          <w:szCs w:val="24"/>
        </w:rPr>
      </w:pPr>
      <w:r w:rsidRPr="00F25D43">
        <w:rPr>
          <w:rFonts w:ascii="Cambria" w:hAnsi="Cambria"/>
          <w:sz w:val="24"/>
          <w:szCs w:val="24"/>
        </w:rPr>
        <w:t>Ipak</w:t>
      </w:r>
      <w:r w:rsidR="00F27FDD">
        <w:rPr>
          <w:rFonts w:ascii="Cambria" w:hAnsi="Cambria"/>
          <w:sz w:val="24"/>
          <w:szCs w:val="24"/>
        </w:rPr>
        <w:t>,</w:t>
      </w:r>
      <w:r w:rsidRPr="00F25D43">
        <w:rPr>
          <w:rFonts w:ascii="Cambria" w:hAnsi="Cambria"/>
          <w:sz w:val="24"/>
          <w:szCs w:val="24"/>
        </w:rPr>
        <w:t xml:space="preserve"> p</w:t>
      </w:r>
      <w:r w:rsidR="00C90731" w:rsidRPr="00F25D43">
        <w:rPr>
          <w:rFonts w:ascii="Cambria" w:hAnsi="Cambria"/>
          <w:sz w:val="24"/>
          <w:szCs w:val="24"/>
        </w:rPr>
        <w:t>otrebno je osigurati da savjetovanja</w:t>
      </w:r>
      <w:r w:rsidRPr="00F25D43">
        <w:rPr>
          <w:rFonts w:ascii="Cambria" w:hAnsi="Cambria"/>
          <w:sz w:val="24"/>
          <w:szCs w:val="24"/>
        </w:rPr>
        <w:t xml:space="preserve"> s javnošću</w:t>
      </w:r>
      <w:r w:rsidR="00C90731" w:rsidRPr="00F25D43">
        <w:rPr>
          <w:rFonts w:ascii="Cambria" w:hAnsi="Cambria"/>
          <w:sz w:val="24"/>
          <w:szCs w:val="24"/>
        </w:rPr>
        <w:t xml:space="preserve"> budu smislen proces </w:t>
      </w:r>
      <w:r w:rsidRPr="00F25D43">
        <w:rPr>
          <w:rFonts w:ascii="Cambria" w:hAnsi="Cambria"/>
          <w:sz w:val="24"/>
          <w:szCs w:val="24"/>
        </w:rPr>
        <w:t>usmjeren poboljšanju kvalitete propisa i demokratskom uključivanju javnosti u kreiranje javnih politika</w:t>
      </w:r>
      <w:r w:rsidR="00F27FDD">
        <w:rPr>
          <w:rFonts w:ascii="Cambria" w:hAnsi="Cambria"/>
          <w:sz w:val="24"/>
          <w:szCs w:val="24"/>
        </w:rPr>
        <w:t>,</w:t>
      </w:r>
      <w:r w:rsidRPr="00F25D43">
        <w:rPr>
          <w:rFonts w:ascii="Cambria" w:hAnsi="Cambria"/>
          <w:sz w:val="24"/>
          <w:szCs w:val="24"/>
        </w:rPr>
        <w:t xml:space="preserve"> </w:t>
      </w:r>
      <w:r w:rsidR="00C90731" w:rsidRPr="00F25D43">
        <w:rPr>
          <w:rFonts w:ascii="Cambria" w:hAnsi="Cambria"/>
          <w:sz w:val="24"/>
          <w:szCs w:val="24"/>
        </w:rPr>
        <w:t xml:space="preserve">a ne </w:t>
      </w:r>
      <w:r w:rsidR="00871385">
        <w:rPr>
          <w:rFonts w:ascii="Cambria" w:hAnsi="Cambria"/>
          <w:sz w:val="24"/>
          <w:szCs w:val="24"/>
        </w:rPr>
        <w:t xml:space="preserve">isključivo </w:t>
      </w:r>
      <w:r w:rsidR="00C90731" w:rsidRPr="00F25D43">
        <w:rPr>
          <w:rFonts w:ascii="Cambria" w:hAnsi="Cambria"/>
          <w:sz w:val="24"/>
          <w:szCs w:val="24"/>
        </w:rPr>
        <w:t>zadovoljavanje zakonske obveze.</w:t>
      </w:r>
      <w:r w:rsidR="006051E6" w:rsidRPr="00F25D43">
        <w:rPr>
          <w:rFonts w:ascii="Cambria" w:hAnsi="Cambria"/>
          <w:sz w:val="24"/>
          <w:szCs w:val="24"/>
        </w:rPr>
        <w:t xml:space="preserve"> Daljnji razvoj sustava savjetovanja treba </w:t>
      </w:r>
      <w:r w:rsidR="00871385">
        <w:rPr>
          <w:rFonts w:ascii="Cambria" w:hAnsi="Cambria"/>
          <w:sz w:val="24"/>
          <w:szCs w:val="24"/>
        </w:rPr>
        <w:t>uključivati osiguranje</w:t>
      </w:r>
      <w:r w:rsidR="00871385" w:rsidRPr="00F25D43">
        <w:rPr>
          <w:rFonts w:ascii="Cambria" w:hAnsi="Cambria"/>
          <w:sz w:val="24"/>
          <w:szCs w:val="24"/>
        </w:rPr>
        <w:t xml:space="preserve"> </w:t>
      </w:r>
      <w:r w:rsidR="00C90731" w:rsidRPr="00F25D43">
        <w:rPr>
          <w:rFonts w:ascii="Cambria" w:hAnsi="Cambria"/>
          <w:sz w:val="24"/>
          <w:szCs w:val="24"/>
        </w:rPr>
        <w:t>dostatn</w:t>
      </w:r>
      <w:r w:rsidR="00871385">
        <w:rPr>
          <w:rFonts w:ascii="Cambria" w:hAnsi="Cambria"/>
          <w:sz w:val="24"/>
          <w:szCs w:val="24"/>
        </w:rPr>
        <w:t>ih</w:t>
      </w:r>
      <w:r w:rsidR="00C90731" w:rsidRPr="00F25D43">
        <w:rPr>
          <w:rFonts w:ascii="Cambria" w:hAnsi="Cambria"/>
          <w:sz w:val="24"/>
          <w:szCs w:val="24"/>
        </w:rPr>
        <w:t xml:space="preserve"> ljudsk</w:t>
      </w:r>
      <w:r w:rsidR="00871385">
        <w:rPr>
          <w:rFonts w:ascii="Cambria" w:hAnsi="Cambria"/>
          <w:sz w:val="24"/>
          <w:szCs w:val="24"/>
        </w:rPr>
        <w:t>ih</w:t>
      </w:r>
      <w:r w:rsidR="00C90731" w:rsidRPr="00F25D43">
        <w:rPr>
          <w:rFonts w:ascii="Cambria" w:hAnsi="Cambria"/>
          <w:sz w:val="24"/>
          <w:szCs w:val="24"/>
        </w:rPr>
        <w:t xml:space="preserve"> kapacitet</w:t>
      </w:r>
      <w:r w:rsidR="00871385">
        <w:rPr>
          <w:rFonts w:ascii="Cambria" w:hAnsi="Cambria"/>
          <w:sz w:val="24"/>
          <w:szCs w:val="24"/>
        </w:rPr>
        <w:t>a</w:t>
      </w:r>
      <w:r w:rsidR="006051E6" w:rsidRPr="00F25D43">
        <w:rPr>
          <w:rFonts w:ascii="Cambria" w:hAnsi="Cambria"/>
          <w:sz w:val="24"/>
          <w:szCs w:val="24"/>
        </w:rPr>
        <w:t xml:space="preserve"> za provedbu savjetovanja</w:t>
      </w:r>
      <w:r w:rsidR="00C90731" w:rsidRPr="00F25D43">
        <w:rPr>
          <w:rFonts w:ascii="Cambria" w:hAnsi="Cambria"/>
          <w:sz w:val="24"/>
          <w:szCs w:val="24"/>
        </w:rPr>
        <w:t xml:space="preserve"> te informiranost i uključenost rukovodećih službenika i dužnosnika</w:t>
      </w:r>
      <w:r w:rsidR="00F25D43" w:rsidRPr="00F25D43">
        <w:rPr>
          <w:rFonts w:ascii="Cambria" w:hAnsi="Cambria"/>
          <w:sz w:val="24"/>
          <w:szCs w:val="24"/>
        </w:rPr>
        <w:t xml:space="preserve"> u procese savjetovanja</w:t>
      </w:r>
      <w:r w:rsidR="006051E6" w:rsidRPr="00F25D43">
        <w:rPr>
          <w:rFonts w:ascii="Cambria" w:hAnsi="Cambria"/>
          <w:sz w:val="24"/>
          <w:szCs w:val="24"/>
        </w:rPr>
        <w:t>.</w:t>
      </w:r>
    </w:p>
    <w:p w14:paraId="7CC3E55A" w14:textId="5BA053BB" w:rsidR="003C2217" w:rsidRDefault="00C90731" w:rsidP="006051E6">
      <w:pPr>
        <w:jc w:val="both"/>
        <w:rPr>
          <w:rFonts w:ascii="Cambria" w:hAnsi="Cambria"/>
          <w:sz w:val="24"/>
          <w:szCs w:val="24"/>
        </w:rPr>
        <w:sectPr w:rsidR="003C2217" w:rsidSect="001A1509">
          <w:headerReference w:type="default" r:id="rId17"/>
          <w:footerReference w:type="default" r:id="rId18"/>
          <w:headerReference w:type="first" r:id="rId19"/>
          <w:pgSz w:w="12240" w:h="15840" w:code="1"/>
          <w:pgMar w:top="1440" w:right="1440" w:bottom="1440" w:left="1440" w:header="720" w:footer="720" w:gutter="0"/>
          <w:cols w:space="720"/>
          <w:titlePg/>
          <w:docGrid w:linePitch="360"/>
        </w:sectPr>
      </w:pPr>
      <w:r w:rsidRPr="00F25D43">
        <w:rPr>
          <w:rFonts w:ascii="Cambria" w:hAnsi="Cambria"/>
          <w:sz w:val="24"/>
          <w:szCs w:val="24"/>
        </w:rPr>
        <w:t>Pravodobno planira</w:t>
      </w:r>
      <w:r w:rsidR="006051E6" w:rsidRPr="00F25D43">
        <w:rPr>
          <w:rFonts w:ascii="Cambria" w:hAnsi="Cambria"/>
          <w:sz w:val="24"/>
          <w:szCs w:val="24"/>
        </w:rPr>
        <w:t>nje savjetovanja ključan je korak u ovom procesu</w:t>
      </w:r>
      <w:r w:rsidR="00871385">
        <w:rPr>
          <w:rFonts w:ascii="Cambria" w:hAnsi="Cambria"/>
          <w:sz w:val="24"/>
          <w:szCs w:val="24"/>
        </w:rPr>
        <w:t xml:space="preserve"> te razumijevanje</w:t>
      </w:r>
      <w:r w:rsidR="006051E6" w:rsidRPr="00F25D43">
        <w:rPr>
          <w:rFonts w:ascii="Cambria" w:hAnsi="Cambria"/>
          <w:sz w:val="24"/>
          <w:szCs w:val="24"/>
        </w:rPr>
        <w:t xml:space="preserve"> savjetovanja </w:t>
      </w:r>
      <w:r w:rsidR="00871385">
        <w:rPr>
          <w:rFonts w:ascii="Cambria" w:hAnsi="Cambria"/>
          <w:sz w:val="24"/>
          <w:szCs w:val="24"/>
        </w:rPr>
        <w:t xml:space="preserve">kao </w:t>
      </w:r>
      <w:r w:rsidR="006051E6" w:rsidRPr="00F25D43">
        <w:rPr>
          <w:rFonts w:ascii="Cambria" w:hAnsi="Cambria"/>
          <w:sz w:val="24"/>
          <w:szCs w:val="24"/>
        </w:rPr>
        <w:t>neizostavn</w:t>
      </w:r>
      <w:r w:rsidR="00871385">
        <w:rPr>
          <w:rFonts w:ascii="Cambria" w:hAnsi="Cambria"/>
          <w:sz w:val="24"/>
          <w:szCs w:val="24"/>
        </w:rPr>
        <w:t>og</w:t>
      </w:r>
      <w:r w:rsidR="006051E6" w:rsidRPr="00F25D43">
        <w:rPr>
          <w:rFonts w:ascii="Cambria" w:hAnsi="Cambria"/>
          <w:sz w:val="24"/>
          <w:szCs w:val="24"/>
        </w:rPr>
        <w:t xml:space="preserve"> di</w:t>
      </w:r>
      <w:r w:rsidR="00871385">
        <w:rPr>
          <w:rFonts w:ascii="Cambria" w:hAnsi="Cambria"/>
          <w:sz w:val="24"/>
          <w:szCs w:val="24"/>
        </w:rPr>
        <w:t>jela</w:t>
      </w:r>
      <w:r w:rsidR="006051E6" w:rsidRPr="00F25D43">
        <w:rPr>
          <w:rFonts w:ascii="Cambria" w:hAnsi="Cambria"/>
          <w:sz w:val="24"/>
          <w:szCs w:val="24"/>
        </w:rPr>
        <w:t xml:space="preserve"> </w:t>
      </w:r>
      <w:r w:rsidR="00F25D43" w:rsidRPr="00F25D43">
        <w:rPr>
          <w:rFonts w:ascii="Cambria" w:hAnsi="Cambria"/>
          <w:sz w:val="24"/>
          <w:szCs w:val="24"/>
        </w:rPr>
        <w:t>kreiranja javnih politika</w:t>
      </w:r>
      <w:r w:rsidR="00F27FDD">
        <w:rPr>
          <w:rFonts w:ascii="Cambria" w:hAnsi="Cambria"/>
          <w:sz w:val="24"/>
          <w:szCs w:val="24"/>
        </w:rPr>
        <w:t>.</w:t>
      </w:r>
      <w:r w:rsidR="006051E6" w:rsidRPr="00F25D43">
        <w:rPr>
          <w:rFonts w:ascii="Cambria" w:hAnsi="Cambria"/>
          <w:sz w:val="24"/>
          <w:szCs w:val="24"/>
        </w:rPr>
        <w:t xml:space="preserve"> Imajući u vidu širu sliku </w:t>
      </w:r>
      <w:r w:rsidR="00F25D43" w:rsidRPr="00F25D43">
        <w:rPr>
          <w:rFonts w:ascii="Cambria" w:hAnsi="Cambria"/>
          <w:sz w:val="24"/>
          <w:szCs w:val="24"/>
        </w:rPr>
        <w:t>uključivanja</w:t>
      </w:r>
      <w:r w:rsidR="006051E6" w:rsidRPr="00F25D43">
        <w:rPr>
          <w:rFonts w:ascii="Cambria" w:hAnsi="Cambria"/>
          <w:sz w:val="24"/>
          <w:szCs w:val="24"/>
        </w:rPr>
        <w:t xml:space="preserve"> javnosti</w:t>
      </w:r>
      <w:r w:rsidR="00F25D43" w:rsidRPr="00F25D43">
        <w:rPr>
          <w:rFonts w:ascii="Cambria" w:hAnsi="Cambria"/>
          <w:sz w:val="24"/>
          <w:szCs w:val="24"/>
        </w:rPr>
        <w:t xml:space="preserve"> u postupke donošenja odluka</w:t>
      </w:r>
      <w:r w:rsidR="00871385">
        <w:rPr>
          <w:rFonts w:ascii="Cambria" w:hAnsi="Cambria"/>
          <w:sz w:val="24"/>
          <w:szCs w:val="24"/>
        </w:rPr>
        <w:t>,</w:t>
      </w:r>
      <w:r w:rsidR="006051E6" w:rsidRPr="00F25D43">
        <w:rPr>
          <w:rFonts w:ascii="Cambria" w:hAnsi="Cambria"/>
          <w:sz w:val="24"/>
          <w:szCs w:val="24"/>
        </w:rPr>
        <w:t xml:space="preserve"> potrebno je također j</w:t>
      </w:r>
      <w:r w:rsidR="0001234B" w:rsidRPr="00F25D43">
        <w:rPr>
          <w:rFonts w:ascii="Cambria" w:hAnsi="Cambria"/>
          <w:sz w:val="24"/>
          <w:szCs w:val="24"/>
        </w:rPr>
        <w:t xml:space="preserve">asno </w:t>
      </w:r>
      <w:r w:rsidR="006051E6" w:rsidRPr="00F25D43">
        <w:rPr>
          <w:rFonts w:ascii="Cambria" w:hAnsi="Cambria"/>
          <w:sz w:val="24"/>
          <w:szCs w:val="24"/>
        </w:rPr>
        <w:t>definirati</w:t>
      </w:r>
      <w:r w:rsidR="0001234B" w:rsidRPr="00F25D43">
        <w:rPr>
          <w:rFonts w:ascii="Cambria" w:hAnsi="Cambria"/>
          <w:sz w:val="24"/>
          <w:szCs w:val="24"/>
        </w:rPr>
        <w:t xml:space="preserve"> i preporuke za uključivanje</w:t>
      </w:r>
      <w:r w:rsidR="00016B55" w:rsidRPr="00F25D43">
        <w:rPr>
          <w:rFonts w:ascii="Cambria" w:hAnsi="Cambria"/>
          <w:sz w:val="24"/>
          <w:szCs w:val="24"/>
        </w:rPr>
        <w:t xml:space="preserve"> civilnoga društva i dugih dionika u radne skupine</w:t>
      </w:r>
      <w:r w:rsidR="00F27FDD">
        <w:rPr>
          <w:rFonts w:ascii="Cambria" w:hAnsi="Cambria"/>
          <w:sz w:val="24"/>
          <w:szCs w:val="24"/>
        </w:rPr>
        <w:t>,</w:t>
      </w:r>
      <w:r w:rsidR="006051E6" w:rsidRPr="00F25D43">
        <w:rPr>
          <w:rFonts w:ascii="Cambria" w:hAnsi="Cambria"/>
          <w:sz w:val="24"/>
          <w:szCs w:val="24"/>
        </w:rPr>
        <w:t xml:space="preserve"> to jest u najranije faze</w:t>
      </w:r>
      <w:r w:rsidR="00F25D43" w:rsidRPr="00F25D43">
        <w:rPr>
          <w:rFonts w:ascii="Cambria" w:hAnsi="Cambria"/>
          <w:sz w:val="24"/>
          <w:szCs w:val="24"/>
        </w:rPr>
        <w:t xml:space="preserve"> stvaranja akata</w:t>
      </w:r>
      <w:r w:rsidR="006051E6" w:rsidRPr="00F25D43">
        <w:rPr>
          <w:rFonts w:ascii="Cambria" w:hAnsi="Cambria"/>
          <w:sz w:val="24"/>
          <w:szCs w:val="24"/>
        </w:rPr>
        <w:t xml:space="preserve"> </w:t>
      </w:r>
      <w:r w:rsidR="00F25D43" w:rsidRPr="00F25D43">
        <w:rPr>
          <w:rFonts w:ascii="Cambria" w:hAnsi="Cambria"/>
          <w:sz w:val="24"/>
          <w:szCs w:val="24"/>
        </w:rPr>
        <w:t xml:space="preserve">kako bi se </w:t>
      </w:r>
      <w:r w:rsidR="00871385">
        <w:rPr>
          <w:rFonts w:ascii="Cambria" w:hAnsi="Cambria"/>
          <w:sz w:val="24"/>
          <w:szCs w:val="24"/>
        </w:rPr>
        <w:t>povećala</w:t>
      </w:r>
      <w:r w:rsidR="00871385" w:rsidRPr="00F25D43">
        <w:rPr>
          <w:rFonts w:ascii="Cambria" w:hAnsi="Cambria"/>
          <w:sz w:val="24"/>
          <w:szCs w:val="24"/>
        </w:rPr>
        <w:t xml:space="preserve"> </w:t>
      </w:r>
      <w:r w:rsidR="006051E6" w:rsidRPr="00F25D43">
        <w:rPr>
          <w:rFonts w:ascii="Cambria" w:hAnsi="Cambria"/>
          <w:sz w:val="24"/>
          <w:szCs w:val="24"/>
        </w:rPr>
        <w:t>transparentnost</w:t>
      </w:r>
      <w:r w:rsidR="00F25D43" w:rsidRPr="00F25D43">
        <w:rPr>
          <w:rFonts w:ascii="Cambria" w:hAnsi="Cambria"/>
          <w:sz w:val="24"/>
          <w:szCs w:val="24"/>
        </w:rPr>
        <w:t xml:space="preserve"> </w:t>
      </w:r>
      <w:r w:rsidR="00FD137E">
        <w:rPr>
          <w:rFonts w:ascii="Cambria" w:hAnsi="Cambria"/>
          <w:sz w:val="24"/>
          <w:szCs w:val="24"/>
        </w:rPr>
        <w:t xml:space="preserve">i učinkovitost </w:t>
      </w:r>
      <w:r w:rsidR="00F25D43" w:rsidRPr="00F25D43">
        <w:rPr>
          <w:rFonts w:ascii="Cambria" w:hAnsi="Cambria"/>
          <w:sz w:val="24"/>
          <w:szCs w:val="24"/>
        </w:rPr>
        <w:t>cjelokupnog postupka</w:t>
      </w:r>
      <w:r w:rsidR="006051E6" w:rsidRPr="00F25D43">
        <w:rPr>
          <w:rFonts w:ascii="Cambria" w:hAnsi="Cambria"/>
          <w:sz w:val="24"/>
          <w:szCs w:val="24"/>
        </w:rPr>
        <w:t>.</w:t>
      </w:r>
      <w:r w:rsidR="003C2217">
        <w:rPr>
          <w:rFonts w:ascii="Cambria" w:hAnsi="Cambria"/>
          <w:sz w:val="24"/>
          <w:szCs w:val="24"/>
        </w:rPr>
        <w:br w:type="page"/>
      </w:r>
    </w:p>
    <w:p w14:paraId="0242988C" w14:textId="517230A3" w:rsidR="003C2217" w:rsidRPr="00F25D43" w:rsidRDefault="003C2217" w:rsidP="00F01225">
      <w:pPr>
        <w:pStyle w:val="Heading2"/>
      </w:pPr>
      <w:bookmarkStart w:id="21" w:name="_Toc4076880"/>
      <w:r w:rsidRPr="00F25D43">
        <w:lastRenderedPageBreak/>
        <w:t xml:space="preserve">Prilog 1.: Pregled provedenih savjetovanja </w:t>
      </w:r>
      <w:r w:rsidR="00FD137E" w:rsidRPr="00FD137E">
        <w:t xml:space="preserve">o nacrtima zakona, drugih propisa i akata </w:t>
      </w:r>
      <w:r w:rsidRPr="00F25D43">
        <w:t>prema državnim tijelima</w:t>
      </w:r>
      <w:bookmarkEnd w:id="21"/>
    </w:p>
    <w:p w14:paraId="4FE2E73C" w14:textId="77777777" w:rsidR="003C2217" w:rsidRDefault="003C2217">
      <w:pPr>
        <w:rPr>
          <w:rFonts w:ascii="Cambria" w:hAnsi="Cambria"/>
          <w:sz w:val="24"/>
          <w:szCs w:val="24"/>
        </w:rPr>
      </w:pPr>
    </w:p>
    <w:tbl>
      <w:tblPr>
        <w:tblStyle w:val="GridTable6Colorful-Accent1"/>
        <w:tblW w:w="14029" w:type="dxa"/>
        <w:tblLook w:val="04A0" w:firstRow="1" w:lastRow="0" w:firstColumn="1" w:lastColumn="0" w:noHBand="0" w:noVBand="1"/>
      </w:tblPr>
      <w:tblGrid>
        <w:gridCol w:w="741"/>
        <w:gridCol w:w="5775"/>
        <w:gridCol w:w="2410"/>
        <w:gridCol w:w="2693"/>
        <w:gridCol w:w="2410"/>
      </w:tblGrid>
      <w:tr w:rsidR="003C2217" w:rsidRPr="00FD137E" w14:paraId="3EAAAEC8" w14:textId="77777777" w:rsidTr="00FD137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41" w:type="dxa"/>
            <w:vAlign w:val="center"/>
            <w:hideMark/>
          </w:tcPr>
          <w:p w14:paraId="4ECDC15D" w14:textId="77777777" w:rsidR="003C2217" w:rsidRPr="00FD137E" w:rsidRDefault="003C2217" w:rsidP="001362A5">
            <w:pPr>
              <w:jc w:val="center"/>
              <w:rPr>
                <w:rFonts w:eastAsia="Times New Roman" w:cs="Times New Roman"/>
                <w:color w:val="000000"/>
                <w:lang w:eastAsia="hr-HR"/>
              </w:rPr>
            </w:pPr>
            <w:r w:rsidRPr="00FD137E">
              <w:rPr>
                <w:rFonts w:eastAsia="Times New Roman" w:cs="Times New Roman"/>
                <w:color w:val="000000"/>
                <w:lang w:eastAsia="hr-HR"/>
              </w:rPr>
              <w:t>Redni broj</w:t>
            </w:r>
          </w:p>
        </w:tc>
        <w:tc>
          <w:tcPr>
            <w:tcW w:w="5775" w:type="dxa"/>
            <w:vAlign w:val="center"/>
            <w:hideMark/>
          </w:tcPr>
          <w:p w14:paraId="467FF217" w14:textId="77777777" w:rsidR="003C2217" w:rsidRPr="00FD137E" w:rsidRDefault="003C2217" w:rsidP="001362A5">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eastAsia="hr-HR"/>
              </w:rPr>
            </w:pPr>
            <w:r w:rsidRPr="00FD137E">
              <w:rPr>
                <w:rFonts w:eastAsia="Times New Roman" w:cs="Times New Roman"/>
                <w:color w:val="000000"/>
                <w:lang w:eastAsia="hr-HR"/>
              </w:rPr>
              <w:t>Naziv tijela</w:t>
            </w:r>
            <w:r w:rsidRPr="00FD137E">
              <w:rPr>
                <w:rFonts w:eastAsia="Times New Roman" w:cs="Times New Roman"/>
                <w:color w:val="000000"/>
                <w:sz w:val="16"/>
                <w:szCs w:val="16"/>
                <w:lang w:eastAsia="hr-HR"/>
              </w:rPr>
              <w:t> </w:t>
            </w:r>
          </w:p>
        </w:tc>
        <w:tc>
          <w:tcPr>
            <w:tcW w:w="2410" w:type="dxa"/>
            <w:vAlign w:val="center"/>
            <w:hideMark/>
          </w:tcPr>
          <w:p w14:paraId="35772603" w14:textId="46E958B8" w:rsidR="003C2217" w:rsidRPr="00FD137E" w:rsidRDefault="003C2217" w:rsidP="00FD137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eastAsia="hr-HR"/>
              </w:rPr>
            </w:pPr>
            <w:r w:rsidRPr="00FD137E">
              <w:rPr>
                <w:rFonts w:eastAsia="Times New Roman" w:cs="Times New Roman"/>
                <w:color w:val="000000"/>
                <w:lang w:eastAsia="hr-HR"/>
              </w:rPr>
              <w:t xml:space="preserve">Broj provedenih savjetovanja </w:t>
            </w:r>
          </w:p>
        </w:tc>
        <w:tc>
          <w:tcPr>
            <w:tcW w:w="2693" w:type="dxa"/>
            <w:vAlign w:val="center"/>
            <w:hideMark/>
          </w:tcPr>
          <w:p w14:paraId="36FA09C5" w14:textId="77777777" w:rsidR="003C2217" w:rsidRPr="00FD137E" w:rsidRDefault="003C2217" w:rsidP="001362A5">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eastAsia="hr-HR"/>
              </w:rPr>
            </w:pPr>
            <w:r w:rsidRPr="00FD137E">
              <w:rPr>
                <w:rFonts w:eastAsia="Times New Roman" w:cs="Times New Roman"/>
                <w:color w:val="000000"/>
                <w:lang w:eastAsia="hr-HR"/>
              </w:rPr>
              <w:t>Broj podnositelja komentara</w:t>
            </w:r>
          </w:p>
        </w:tc>
        <w:tc>
          <w:tcPr>
            <w:tcW w:w="2410" w:type="dxa"/>
            <w:vAlign w:val="center"/>
            <w:hideMark/>
          </w:tcPr>
          <w:p w14:paraId="3155ABC0" w14:textId="77777777" w:rsidR="003C2217" w:rsidRPr="00FD137E" w:rsidRDefault="003C2217" w:rsidP="001362A5">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eastAsia="hr-HR"/>
              </w:rPr>
            </w:pPr>
            <w:r w:rsidRPr="00FD137E">
              <w:rPr>
                <w:rFonts w:eastAsia="Times New Roman" w:cs="Times New Roman"/>
                <w:color w:val="000000"/>
                <w:lang w:eastAsia="hr-HR"/>
              </w:rPr>
              <w:t>Broj primljenih komentara</w:t>
            </w:r>
          </w:p>
        </w:tc>
      </w:tr>
      <w:tr w:rsidR="003C2217" w:rsidRPr="00FD137E" w14:paraId="6BB2F466" w14:textId="77777777" w:rsidTr="00FD137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41" w:type="dxa"/>
            <w:vAlign w:val="center"/>
            <w:hideMark/>
          </w:tcPr>
          <w:p w14:paraId="34FFF3D1" w14:textId="77777777" w:rsidR="003C2217" w:rsidRPr="00FD137E" w:rsidRDefault="003C2217" w:rsidP="00F01225">
            <w:pPr>
              <w:jc w:val="center"/>
              <w:rPr>
                <w:rFonts w:eastAsia="Times New Roman" w:cs="Times New Roman"/>
                <w:b w:val="0"/>
                <w:color w:val="000000"/>
                <w:lang w:eastAsia="hr-HR"/>
              </w:rPr>
            </w:pPr>
            <w:r w:rsidRPr="00FD137E">
              <w:rPr>
                <w:rFonts w:eastAsia="Times New Roman" w:cs="Times New Roman"/>
                <w:b w:val="0"/>
                <w:color w:val="000000"/>
                <w:lang w:eastAsia="hr-HR"/>
              </w:rPr>
              <w:t>1.</w:t>
            </w:r>
          </w:p>
        </w:tc>
        <w:tc>
          <w:tcPr>
            <w:tcW w:w="5775" w:type="dxa"/>
            <w:vAlign w:val="center"/>
            <w:hideMark/>
          </w:tcPr>
          <w:p w14:paraId="5A396580" w14:textId="77777777" w:rsidR="003C2217" w:rsidRPr="00FD137E" w:rsidRDefault="003C2217" w:rsidP="001362A5">
            <w:pPr>
              <w:contextualSpacing/>
              <w:cnfStyle w:val="000000100000" w:firstRow="0" w:lastRow="0" w:firstColumn="0" w:lastColumn="0" w:oddVBand="0" w:evenVBand="0" w:oddHBand="1" w:evenHBand="0" w:firstRowFirstColumn="0" w:firstRowLastColumn="0" w:lastRowFirstColumn="0" w:lastRowLastColumn="0"/>
              <w:rPr>
                <w:color w:val="auto"/>
              </w:rPr>
            </w:pPr>
            <w:r w:rsidRPr="00FD137E">
              <w:rPr>
                <w:color w:val="auto"/>
              </w:rPr>
              <w:t>Ministarstvo poljoprivrede</w:t>
            </w:r>
          </w:p>
        </w:tc>
        <w:tc>
          <w:tcPr>
            <w:tcW w:w="2410" w:type="dxa"/>
            <w:noWrap/>
            <w:vAlign w:val="center"/>
            <w:hideMark/>
          </w:tcPr>
          <w:p w14:paraId="66F7D1C3" w14:textId="77777777" w:rsidR="003C2217" w:rsidRPr="00FD137E" w:rsidRDefault="00C26553" w:rsidP="001362A5">
            <w:pPr>
              <w:contextualSpacing/>
              <w:jc w:val="center"/>
              <w:cnfStyle w:val="000000100000" w:firstRow="0" w:lastRow="0" w:firstColumn="0" w:lastColumn="0" w:oddVBand="0" w:evenVBand="0" w:oddHBand="1" w:evenHBand="0" w:firstRowFirstColumn="0" w:firstRowLastColumn="0" w:lastRowFirstColumn="0" w:lastRowLastColumn="0"/>
              <w:rPr>
                <w:color w:val="auto"/>
              </w:rPr>
            </w:pPr>
            <w:r w:rsidRPr="00FD137E">
              <w:rPr>
                <w:color w:val="auto"/>
              </w:rPr>
              <w:t>177</w:t>
            </w:r>
          </w:p>
        </w:tc>
        <w:tc>
          <w:tcPr>
            <w:tcW w:w="2693" w:type="dxa"/>
            <w:noWrap/>
            <w:vAlign w:val="center"/>
            <w:hideMark/>
          </w:tcPr>
          <w:p w14:paraId="4C37261E" w14:textId="77777777" w:rsidR="003C2217" w:rsidRPr="00FD137E" w:rsidRDefault="00C26553" w:rsidP="001362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358</w:t>
            </w:r>
          </w:p>
        </w:tc>
        <w:tc>
          <w:tcPr>
            <w:tcW w:w="2410" w:type="dxa"/>
            <w:noWrap/>
            <w:vAlign w:val="center"/>
            <w:hideMark/>
          </w:tcPr>
          <w:p w14:paraId="7ABE2589" w14:textId="77777777" w:rsidR="003C2217" w:rsidRPr="00FD137E" w:rsidRDefault="00C26553" w:rsidP="001362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1.040</w:t>
            </w:r>
          </w:p>
        </w:tc>
      </w:tr>
      <w:tr w:rsidR="003C2217" w:rsidRPr="00FD137E" w14:paraId="23703C53" w14:textId="77777777" w:rsidTr="00FD137E">
        <w:trPr>
          <w:trHeight w:val="454"/>
        </w:trPr>
        <w:tc>
          <w:tcPr>
            <w:cnfStyle w:val="001000000000" w:firstRow="0" w:lastRow="0" w:firstColumn="1" w:lastColumn="0" w:oddVBand="0" w:evenVBand="0" w:oddHBand="0" w:evenHBand="0" w:firstRowFirstColumn="0" w:firstRowLastColumn="0" w:lastRowFirstColumn="0" w:lastRowLastColumn="0"/>
            <w:tcW w:w="741" w:type="dxa"/>
            <w:vAlign w:val="center"/>
            <w:hideMark/>
          </w:tcPr>
          <w:p w14:paraId="4B56E22B" w14:textId="77777777" w:rsidR="003C2217" w:rsidRPr="00FD137E" w:rsidRDefault="003C2217" w:rsidP="00F01225">
            <w:pPr>
              <w:jc w:val="center"/>
              <w:rPr>
                <w:rFonts w:eastAsia="Times New Roman" w:cs="Times New Roman"/>
                <w:b w:val="0"/>
                <w:color w:val="000000"/>
                <w:lang w:eastAsia="hr-HR"/>
              </w:rPr>
            </w:pPr>
            <w:r w:rsidRPr="00FD137E">
              <w:rPr>
                <w:rFonts w:eastAsia="Times New Roman" w:cs="Times New Roman"/>
                <w:b w:val="0"/>
                <w:color w:val="000000"/>
                <w:lang w:eastAsia="hr-HR"/>
              </w:rPr>
              <w:t>2.</w:t>
            </w:r>
          </w:p>
        </w:tc>
        <w:tc>
          <w:tcPr>
            <w:tcW w:w="5775" w:type="dxa"/>
            <w:vAlign w:val="center"/>
            <w:hideMark/>
          </w:tcPr>
          <w:p w14:paraId="5F2F61DD" w14:textId="77777777" w:rsidR="003C2217" w:rsidRPr="00FD137E" w:rsidRDefault="003C2217" w:rsidP="001362A5">
            <w:pPr>
              <w:contextualSpacing/>
              <w:cnfStyle w:val="000000000000" w:firstRow="0" w:lastRow="0" w:firstColumn="0" w:lastColumn="0" w:oddVBand="0" w:evenVBand="0" w:oddHBand="0" w:evenHBand="0" w:firstRowFirstColumn="0" w:firstRowLastColumn="0" w:lastRowFirstColumn="0" w:lastRowLastColumn="0"/>
              <w:rPr>
                <w:color w:val="auto"/>
              </w:rPr>
            </w:pPr>
            <w:r w:rsidRPr="00FD137E">
              <w:rPr>
                <w:color w:val="auto"/>
              </w:rPr>
              <w:t>Ministarstvo pravosuđa</w:t>
            </w:r>
          </w:p>
        </w:tc>
        <w:tc>
          <w:tcPr>
            <w:tcW w:w="2410" w:type="dxa"/>
            <w:noWrap/>
            <w:vAlign w:val="center"/>
            <w:hideMark/>
          </w:tcPr>
          <w:p w14:paraId="37CA37BF" w14:textId="77777777" w:rsidR="003C2217" w:rsidRPr="00FD137E" w:rsidRDefault="00C26553" w:rsidP="001362A5">
            <w:pPr>
              <w:contextualSpacing/>
              <w:jc w:val="center"/>
              <w:cnfStyle w:val="000000000000" w:firstRow="0" w:lastRow="0" w:firstColumn="0" w:lastColumn="0" w:oddVBand="0" w:evenVBand="0" w:oddHBand="0" w:evenHBand="0" w:firstRowFirstColumn="0" w:firstRowLastColumn="0" w:lastRowFirstColumn="0" w:lastRowLastColumn="0"/>
              <w:rPr>
                <w:color w:val="auto"/>
              </w:rPr>
            </w:pPr>
            <w:r w:rsidRPr="00FD137E">
              <w:rPr>
                <w:color w:val="auto"/>
              </w:rPr>
              <w:t>53</w:t>
            </w:r>
          </w:p>
        </w:tc>
        <w:tc>
          <w:tcPr>
            <w:tcW w:w="2693" w:type="dxa"/>
            <w:noWrap/>
            <w:vAlign w:val="center"/>
            <w:hideMark/>
          </w:tcPr>
          <w:p w14:paraId="63C979C5" w14:textId="77777777" w:rsidR="003C2217" w:rsidRPr="00FD137E" w:rsidRDefault="00C26553" w:rsidP="001362A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230</w:t>
            </w:r>
          </w:p>
        </w:tc>
        <w:tc>
          <w:tcPr>
            <w:tcW w:w="2410" w:type="dxa"/>
            <w:noWrap/>
            <w:vAlign w:val="center"/>
            <w:hideMark/>
          </w:tcPr>
          <w:p w14:paraId="43515D2C" w14:textId="77777777" w:rsidR="003C2217" w:rsidRPr="00FD137E" w:rsidRDefault="00C26553" w:rsidP="001362A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717</w:t>
            </w:r>
          </w:p>
        </w:tc>
      </w:tr>
      <w:tr w:rsidR="003C2217" w:rsidRPr="00FD137E" w14:paraId="22D239F1" w14:textId="77777777" w:rsidTr="00FD137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41" w:type="dxa"/>
            <w:vAlign w:val="center"/>
            <w:hideMark/>
          </w:tcPr>
          <w:p w14:paraId="23C6FFBD" w14:textId="77777777" w:rsidR="003C2217" w:rsidRPr="00FD137E" w:rsidRDefault="003C2217" w:rsidP="00F01225">
            <w:pPr>
              <w:jc w:val="center"/>
              <w:rPr>
                <w:rFonts w:eastAsia="Times New Roman" w:cs="Times New Roman"/>
                <w:b w:val="0"/>
                <w:color w:val="000000"/>
                <w:lang w:eastAsia="hr-HR"/>
              </w:rPr>
            </w:pPr>
            <w:r w:rsidRPr="00FD137E">
              <w:rPr>
                <w:rFonts w:eastAsia="Times New Roman" w:cs="Times New Roman"/>
                <w:b w:val="0"/>
                <w:color w:val="000000"/>
                <w:lang w:eastAsia="hr-HR"/>
              </w:rPr>
              <w:t>3.</w:t>
            </w:r>
          </w:p>
        </w:tc>
        <w:tc>
          <w:tcPr>
            <w:tcW w:w="5775" w:type="dxa"/>
            <w:vAlign w:val="center"/>
            <w:hideMark/>
          </w:tcPr>
          <w:p w14:paraId="244DC95B" w14:textId="77777777" w:rsidR="003C2217" w:rsidRPr="00FD137E" w:rsidRDefault="003C2217" w:rsidP="001362A5">
            <w:pPr>
              <w:contextualSpacing/>
              <w:cnfStyle w:val="000000100000" w:firstRow="0" w:lastRow="0" w:firstColumn="0" w:lastColumn="0" w:oddVBand="0" w:evenVBand="0" w:oddHBand="1" w:evenHBand="0" w:firstRowFirstColumn="0" w:firstRowLastColumn="0" w:lastRowFirstColumn="0" w:lastRowLastColumn="0"/>
              <w:rPr>
                <w:color w:val="auto"/>
              </w:rPr>
            </w:pPr>
            <w:r w:rsidRPr="00FD137E">
              <w:rPr>
                <w:color w:val="auto"/>
              </w:rPr>
              <w:t>Ministarstvo zaštite okoliša i energetike</w:t>
            </w:r>
          </w:p>
        </w:tc>
        <w:tc>
          <w:tcPr>
            <w:tcW w:w="2410" w:type="dxa"/>
            <w:noWrap/>
            <w:vAlign w:val="center"/>
            <w:hideMark/>
          </w:tcPr>
          <w:p w14:paraId="57327DC7" w14:textId="77777777" w:rsidR="003C2217" w:rsidRPr="00FD137E" w:rsidRDefault="00C26553" w:rsidP="001362A5">
            <w:pPr>
              <w:contextualSpacing/>
              <w:jc w:val="center"/>
              <w:cnfStyle w:val="000000100000" w:firstRow="0" w:lastRow="0" w:firstColumn="0" w:lastColumn="0" w:oddVBand="0" w:evenVBand="0" w:oddHBand="1" w:evenHBand="0" w:firstRowFirstColumn="0" w:firstRowLastColumn="0" w:lastRowFirstColumn="0" w:lastRowLastColumn="0"/>
              <w:rPr>
                <w:color w:val="auto"/>
              </w:rPr>
            </w:pPr>
            <w:r w:rsidRPr="00FD137E">
              <w:rPr>
                <w:color w:val="auto"/>
              </w:rPr>
              <w:t>77</w:t>
            </w:r>
          </w:p>
        </w:tc>
        <w:tc>
          <w:tcPr>
            <w:tcW w:w="2693" w:type="dxa"/>
            <w:noWrap/>
            <w:vAlign w:val="center"/>
            <w:hideMark/>
          </w:tcPr>
          <w:p w14:paraId="47100D57" w14:textId="77777777" w:rsidR="003C2217" w:rsidRPr="00FD137E" w:rsidRDefault="00F5649E" w:rsidP="001362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254</w:t>
            </w:r>
          </w:p>
        </w:tc>
        <w:tc>
          <w:tcPr>
            <w:tcW w:w="2410" w:type="dxa"/>
            <w:noWrap/>
            <w:vAlign w:val="center"/>
            <w:hideMark/>
          </w:tcPr>
          <w:p w14:paraId="4DDC9879" w14:textId="77777777" w:rsidR="003C2217" w:rsidRPr="00FD137E" w:rsidRDefault="00F5649E" w:rsidP="001362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1.376</w:t>
            </w:r>
          </w:p>
        </w:tc>
      </w:tr>
      <w:tr w:rsidR="003C2217" w:rsidRPr="00FD137E" w14:paraId="455DB409" w14:textId="77777777" w:rsidTr="00FD137E">
        <w:trPr>
          <w:trHeight w:val="454"/>
        </w:trPr>
        <w:tc>
          <w:tcPr>
            <w:cnfStyle w:val="001000000000" w:firstRow="0" w:lastRow="0" w:firstColumn="1" w:lastColumn="0" w:oddVBand="0" w:evenVBand="0" w:oddHBand="0" w:evenHBand="0" w:firstRowFirstColumn="0" w:firstRowLastColumn="0" w:lastRowFirstColumn="0" w:lastRowLastColumn="0"/>
            <w:tcW w:w="741" w:type="dxa"/>
            <w:vAlign w:val="center"/>
            <w:hideMark/>
          </w:tcPr>
          <w:p w14:paraId="7605A02C" w14:textId="77777777" w:rsidR="003C2217" w:rsidRPr="00FD137E" w:rsidRDefault="003C2217" w:rsidP="00F01225">
            <w:pPr>
              <w:jc w:val="center"/>
              <w:rPr>
                <w:rFonts w:eastAsia="Times New Roman" w:cs="Times New Roman"/>
                <w:b w:val="0"/>
                <w:color w:val="000000"/>
                <w:lang w:eastAsia="hr-HR"/>
              </w:rPr>
            </w:pPr>
            <w:r w:rsidRPr="00FD137E">
              <w:rPr>
                <w:rFonts w:eastAsia="Times New Roman" w:cs="Times New Roman"/>
                <w:b w:val="0"/>
                <w:color w:val="000000"/>
                <w:lang w:eastAsia="hr-HR"/>
              </w:rPr>
              <w:t>4.</w:t>
            </w:r>
          </w:p>
        </w:tc>
        <w:tc>
          <w:tcPr>
            <w:tcW w:w="5775" w:type="dxa"/>
            <w:vAlign w:val="center"/>
            <w:hideMark/>
          </w:tcPr>
          <w:p w14:paraId="50DEBF14" w14:textId="77777777" w:rsidR="003C2217" w:rsidRPr="00FD137E" w:rsidRDefault="003C2217" w:rsidP="001362A5">
            <w:pPr>
              <w:contextualSpacing/>
              <w:cnfStyle w:val="000000000000" w:firstRow="0" w:lastRow="0" w:firstColumn="0" w:lastColumn="0" w:oddVBand="0" w:evenVBand="0" w:oddHBand="0" w:evenHBand="0" w:firstRowFirstColumn="0" w:firstRowLastColumn="0" w:lastRowFirstColumn="0" w:lastRowLastColumn="0"/>
              <w:rPr>
                <w:color w:val="auto"/>
              </w:rPr>
            </w:pPr>
            <w:r w:rsidRPr="00FD137E">
              <w:rPr>
                <w:color w:val="auto"/>
              </w:rPr>
              <w:t>Ministarstvo financija</w:t>
            </w:r>
          </w:p>
        </w:tc>
        <w:tc>
          <w:tcPr>
            <w:tcW w:w="2410" w:type="dxa"/>
            <w:noWrap/>
            <w:vAlign w:val="center"/>
            <w:hideMark/>
          </w:tcPr>
          <w:p w14:paraId="0C554F4A" w14:textId="77777777" w:rsidR="003C2217" w:rsidRPr="00FD137E" w:rsidRDefault="00F5649E" w:rsidP="001362A5">
            <w:pPr>
              <w:contextualSpacing/>
              <w:jc w:val="center"/>
              <w:cnfStyle w:val="000000000000" w:firstRow="0" w:lastRow="0" w:firstColumn="0" w:lastColumn="0" w:oddVBand="0" w:evenVBand="0" w:oddHBand="0" w:evenHBand="0" w:firstRowFirstColumn="0" w:firstRowLastColumn="0" w:lastRowFirstColumn="0" w:lastRowLastColumn="0"/>
              <w:rPr>
                <w:color w:val="auto"/>
              </w:rPr>
            </w:pPr>
            <w:r w:rsidRPr="00FD137E">
              <w:rPr>
                <w:color w:val="auto"/>
              </w:rPr>
              <w:t>83</w:t>
            </w:r>
          </w:p>
        </w:tc>
        <w:tc>
          <w:tcPr>
            <w:tcW w:w="2693" w:type="dxa"/>
            <w:noWrap/>
            <w:vAlign w:val="center"/>
            <w:hideMark/>
          </w:tcPr>
          <w:p w14:paraId="3FCF8860" w14:textId="77777777" w:rsidR="003C2217" w:rsidRPr="00FD137E" w:rsidRDefault="00F5649E" w:rsidP="001362A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417</w:t>
            </w:r>
          </w:p>
        </w:tc>
        <w:tc>
          <w:tcPr>
            <w:tcW w:w="2410" w:type="dxa"/>
            <w:noWrap/>
            <w:vAlign w:val="center"/>
            <w:hideMark/>
          </w:tcPr>
          <w:p w14:paraId="17AF9116" w14:textId="77777777" w:rsidR="003C2217" w:rsidRPr="00FD137E" w:rsidRDefault="00F5649E" w:rsidP="001362A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1.052</w:t>
            </w:r>
          </w:p>
        </w:tc>
      </w:tr>
      <w:tr w:rsidR="003C2217" w:rsidRPr="00FD137E" w14:paraId="45EB7953" w14:textId="77777777" w:rsidTr="00FD137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41" w:type="dxa"/>
            <w:vAlign w:val="center"/>
            <w:hideMark/>
          </w:tcPr>
          <w:p w14:paraId="36D09C34" w14:textId="77777777" w:rsidR="003C2217" w:rsidRPr="00FD137E" w:rsidRDefault="003C2217" w:rsidP="00F01225">
            <w:pPr>
              <w:jc w:val="center"/>
              <w:rPr>
                <w:rFonts w:eastAsia="Times New Roman" w:cs="Times New Roman"/>
                <w:b w:val="0"/>
                <w:color w:val="000000"/>
                <w:lang w:eastAsia="hr-HR"/>
              </w:rPr>
            </w:pPr>
            <w:r w:rsidRPr="00FD137E">
              <w:rPr>
                <w:rFonts w:eastAsia="Times New Roman" w:cs="Times New Roman"/>
                <w:b w:val="0"/>
                <w:color w:val="000000"/>
                <w:lang w:eastAsia="hr-HR"/>
              </w:rPr>
              <w:t>5.</w:t>
            </w:r>
          </w:p>
        </w:tc>
        <w:tc>
          <w:tcPr>
            <w:tcW w:w="5775" w:type="dxa"/>
            <w:vAlign w:val="center"/>
            <w:hideMark/>
          </w:tcPr>
          <w:p w14:paraId="7C05560C" w14:textId="77777777" w:rsidR="003C2217" w:rsidRPr="00FD137E" w:rsidRDefault="003C2217" w:rsidP="001362A5">
            <w:pPr>
              <w:contextualSpacing/>
              <w:cnfStyle w:val="000000100000" w:firstRow="0" w:lastRow="0" w:firstColumn="0" w:lastColumn="0" w:oddVBand="0" w:evenVBand="0" w:oddHBand="1" w:evenHBand="0" w:firstRowFirstColumn="0" w:firstRowLastColumn="0" w:lastRowFirstColumn="0" w:lastRowLastColumn="0"/>
              <w:rPr>
                <w:color w:val="auto"/>
              </w:rPr>
            </w:pPr>
            <w:r w:rsidRPr="00FD137E">
              <w:rPr>
                <w:color w:val="auto"/>
              </w:rPr>
              <w:t>Ministarstvo zdravstva</w:t>
            </w:r>
          </w:p>
        </w:tc>
        <w:tc>
          <w:tcPr>
            <w:tcW w:w="2410" w:type="dxa"/>
            <w:noWrap/>
            <w:vAlign w:val="center"/>
            <w:hideMark/>
          </w:tcPr>
          <w:p w14:paraId="73C2FE6C" w14:textId="77777777" w:rsidR="003C2217" w:rsidRPr="00FD137E" w:rsidRDefault="00292819" w:rsidP="001362A5">
            <w:pPr>
              <w:contextualSpacing/>
              <w:jc w:val="center"/>
              <w:cnfStyle w:val="000000100000" w:firstRow="0" w:lastRow="0" w:firstColumn="0" w:lastColumn="0" w:oddVBand="0" w:evenVBand="0" w:oddHBand="1" w:evenHBand="0" w:firstRowFirstColumn="0" w:firstRowLastColumn="0" w:lastRowFirstColumn="0" w:lastRowLastColumn="0"/>
              <w:rPr>
                <w:color w:val="auto"/>
              </w:rPr>
            </w:pPr>
            <w:r w:rsidRPr="00FD137E">
              <w:rPr>
                <w:color w:val="auto"/>
              </w:rPr>
              <w:t>99</w:t>
            </w:r>
          </w:p>
        </w:tc>
        <w:tc>
          <w:tcPr>
            <w:tcW w:w="2693" w:type="dxa"/>
            <w:noWrap/>
            <w:vAlign w:val="center"/>
            <w:hideMark/>
          </w:tcPr>
          <w:p w14:paraId="1AA75D03" w14:textId="77777777" w:rsidR="003C2217" w:rsidRPr="00FD137E" w:rsidRDefault="00292819" w:rsidP="001362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1.004</w:t>
            </w:r>
          </w:p>
        </w:tc>
        <w:tc>
          <w:tcPr>
            <w:tcW w:w="2410" w:type="dxa"/>
            <w:noWrap/>
            <w:vAlign w:val="center"/>
            <w:hideMark/>
          </w:tcPr>
          <w:p w14:paraId="21A80599" w14:textId="77777777" w:rsidR="003C2217" w:rsidRPr="00FD137E" w:rsidRDefault="00292819" w:rsidP="001362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5.823</w:t>
            </w:r>
          </w:p>
        </w:tc>
      </w:tr>
      <w:tr w:rsidR="003C2217" w:rsidRPr="00FD137E" w14:paraId="2BBDCB1A" w14:textId="77777777" w:rsidTr="00FD137E">
        <w:trPr>
          <w:trHeight w:val="454"/>
        </w:trPr>
        <w:tc>
          <w:tcPr>
            <w:cnfStyle w:val="001000000000" w:firstRow="0" w:lastRow="0" w:firstColumn="1" w:lastColumn="0" w:oddVBand="0" w:evenVBand="0" w:oddHBand="0" w:evenHBand="0" w:firstRowFirstColumn="0" w:firstRowLastColumn="0" w:lastRowFirstColumn="0" w:lastRowLastColumn="0"/>
            <w:tcW w:w="741" w:type="dxa"/>
            <w:vAlign w:val="center"/>
            <w:hideMark/>
          </w:tcPr>
          <w:p w14:paraId="759A4E93" w14:textId="77777777" w:rsidR="003C2217" w:rsidRPr="00FD137E" w:rsidRDefault="003C2217" w:rsidP="00F01225">
            <w:pPr>
              <w:jc w:val="center"/>
              <w:rPr>
                <w:rFonts w:eastAsia="Times New Roman" w:cs="Times New Roman"/>
                <w:b w:val="0"/>
                <w:color w:val="000000"/>
                <w:lang w:eastAsia="hr-HR"/>
              </w:rPr>
            </w:pPr>
            <w:r w:rsidRPr="00FD137E">
              <w:rPr>
                <w:rFonts w:eastAsia="Times New Roman" w:cs="Times New Roman"/>
                <w:b w:val="0"/>
                <w:color w:val="000000"/>
                <w:lang w:eastAsia="hr-HR"/>
              </w:rPr>
              <w:t>6.</w:t>
            </w:r>
          </w:p>
        </w:tc>
        <w:tc>
          <w:tcPr>
            <w:tcW w:w="5775" w:type="dxa"/>
            <w:vAlign w:val="center"/>
            <w:hideMark/>
          </w:tcPr>
          <w:p w14:paraId="3BC54D0C" w14:textId="77777777" w:rsidR="003C2217" w:rsidRPr="00FD137E" w:rsidRDefault="003C2217" w:rsidP="001362A5">
            <w:pPr>
              <w:contextualSpacing/>
              <w:cnfStyle w:val="000000000000" w:firstRow="0" w:lastRow="0" w:firstColumn="0" w:lastColumn="0" w:oddVBand="0" w:evenVBand="0" w:oddHBand="0" w:evenHBand="0" w:firstRowFirstColumn="0" w:firstRowLastColumn="0" w:lastRowFirstColumn="0" w:lastRowLastColumn="0"/>
              <w:rPr>
                <w:color w:val="auto"/>
              </w:rPr>
            </w:pPr>
            <w:r w:rsidRPr="00FD137E">
              <w:rPr>
                <w:color w:val="auto"/>
              </w:rPr>
              <w:t>Ministarstvo za demografiju, obitelj, mlade i socijalnu politiku</w:t>
            </w:r>
          </w:p>
        </w:tc>
        <w:tc>
          <w:tcPr>
            <w:tcW w:w="2410" w:type="dxa"/>
            <w:noWrap/>
            <w:vAlign w:val="center"/>
            <w:hideMark/>
          </w:tcPr>
          <w:p w14:paraId="1B2991B7" w14:textId="77777777" w:rsidR="003C2217" w:rsidRPr="00FD137E" w:rsidRDefault="0068210F" w:rsidP="001362A5">
            <w:pPr>
              <w:contextualSpacing/>
              <w:jc w:val="center"/>
              <w:cnfStyle w:val="000000000000" w:firstRow="0" w:lastRow="0" w:firstColumn="0" w:lastColumn="0" w:oddVBand="0" w:evenVBand="0" w:oddHBand="0" w:evenHBand="0" w:firstRowFirstColumn="0" w:firstRowLastColumn="0" w:lastRowFirstColumn="0" w:lastRowLastColumn="0"/>
              <w:rPr>
                <w:color w:val="auto"/>
              </w:rPr>
            </w:pPr>
            <w:r w:rsidRPr="00FD137E">
              <w:rPr>
                <w:color w:val="auto"/>
              </w:rPr>
              <w:t>25</w:t>
            </w:r>
          </w:p>
        </w:tc>
        <w:tc>
          <w:tcPr>
            <w:tcW w:w="2693" w:type="dxa"/>
            <w:noWrap/>
            <w:vAlign w:val="center"/>
            <w:hideMark/>
          </w:tcPr>
          <w:p w14:paraId="24C7D07B" w14:textId="77777777" w:rsidR="003C2217" w:rsidRPr="00FD137E" w:rsidRDefault="0068210F" w:rsidP="001362A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375</w:t>
            </w:r>
          </w:p>
        </w:tc>
        <w:tc>
          <w:tcPr>
            <w:tcW w:w="2410" w:type="dxa"/>
            <w:noWrap/>
            <w:vAlign w:val="center"/>
            <w:hideMark/>
          </w:tcPr>
          <w:p w14:paraId="2095BE9A" w14:textId="77777777" w:rsidR="003C2217" w:rsidRPr="00FD137E" w:rsidRDefault="0068210F" w:rsidP="001362A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1.310</w:t>
            </w:r>
          </w:p>
        </w:tc>
      </w:tr>
      <w:tr w:rsidR="003C2217" w:rsidRPr="00FD137E" w14:paraId="09DC9302" w14:textId="77777777" w:rsidTr="00FD137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41" w:type="dxa"/>
            <w:vAlign w:val="center"/>
            <w:hideMark/>
          </w:tcPr>
          <w:p w14:paraId="2B255DEB" w14:textId="77777777" w:rsidR="003C2217" w:rsidRPr="00FD137E" w:rsidRDefault="003C2217" w:rsidP="00F01225">
            <w:pPr>
              <w:jc w:val="center"/>
              <w:rPr>
                <w:rFonts w:eastAsia="Times New Roman" w:cs="Times New Roman"/>
                <w:b w:val="0"/>
                <w:color w:val="000000"/>
                <w:lang w:eastAsia="hr-HR"/>
              </w:rPr>
            </w:pPr>
            <w:r w:rsidRPr="00FD137E">
              <w:rPr>
                <w:rFonts w:eastAsia="Times New Roman" w:cs="Times New Roman"/>
                <w:b w:val="0"/>
                <w:color w:val="000000"/>
                <w:lang w:eastAsia="hr-HR"/>
              </w:rPr>
              <w:t>7.</w:t>
            </w:r>
          </w:p>
        </w:tc>
        <w:tc>
          <w:tcPr>
            <w:tcW w:w="5775" w:type="dxa"/>
            <w:vAlign w:val="center"/>
            <w:hideMark/>
          </w:tcPr>
          <w:p w14:paraId="5390C00F" w14:textId="77777777" w:rsidR="003C2217" w:rsidRPr="00FD137E" w:rsidRDefault="003C2217" w:rsidP="001362A5">
            <w:pPr>
              <w:contextualSpacing/>
              <w:cnfStyle w:val="000000100000" w:firstRow="0" w:lastRow="0" w:firstColumn="0" w:lastColumn="0" w:oddVBand="0" w:evenVBand="0" w:oddHBand="1" w:evenHBand="0" w:firstRowFirstColumn="0" w:firstRowLastColumn="0" w:lastRowFirstColumn="0" w:lastRowLastColumn="0"/>
              <w:rPr>
                <w:color w:val="auto"/>
              </w:rPr>
            </w:pPr>
            <w:r w:rsidRPr="00FD137E">
              <w:rPr>
                <w:color w:val="auto"/>
              </w:rPr>
              <w:t>Ministarstvo mora, prometa i infrastrukture</w:t>
            </w:r>
          </w:p>
        </w:tc>
        <w:tc>
          <w:tcPr>
            <w:tcW w:w="2410" w:type="dxa"/>
            <w:noWrap/>
            <w:vAlign w:val="center"/>
            <w:hideMark/>
          </w:tcPr>
          <w:p w14:paraId="7324E86C" w14:textId="77777777" w:rsidR="003C2217" w:rsidRPr="00FD137E" w:rsidRDefault="00DA33C0" w:rsidP="00C26553">
            <w:pPr>
              <w:contextualSpacing/>
              <w:jc w:val="center"/>
              <w:cnfStyle w:val="000000100000" w:firstRow="0" w:lastRow="0" w:firstColumn="0" w:lastColumn="0" w:oddVBand="0" w:evenVBand="0" w:oddHBand="1" w:evenHBand="0" w:firstRowFirstColumn="0" w:firstRowLastColumn="0" w:lastRowFirstColumn="0" w:lastRowLastColumn="0"/>
              <w:rPr>
                <w:color w:val="auto"/>
              </w:rPr>
            </w:pPr>
            <w:r w:rsidRPr="00FD137E">
              <w:rPr>
                <w:color w:val="auto"/>
              </w:rPr>
              <w:t>41</w:t>
            </w:r>
          </w:p>
        </w:tc>
        <w:tc>
          <w:tcPr>
            <w:tcW w:w="2693" w:type="dxa"/>
            <w:noWrap/>
            <w:vAlign w:val="center"/>
            <w:hideMark/>
          </w:tcPr>
          <w:p w14:paraId="69F5636E" w14:textId="77777777" w:rsidR="003C2217" w:rsidRPr="00FD137E" w:rsidRDefault="00DA33C0" w:rsidP="001362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140</w:t>
            </w:r>
          </w:p>
        </w:tc>
        <w:tc>
          <w:tcPr>
            <w:tcW w:w="2410" w:type="dxa"/>
            <w:noWrap/>
            <w:vAlign w:val="center"/>
            <w:hideMark/>
          </w:tcPr>
          <w:p w14:paraId="05F457E5" w14:textId="77777777" w:rsidR="003C2217" w:rsidRPr="00FD137E" w:rsidRDefault="00DA33C0" w:rsidP="001362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757</w:t>
            </w:r>
          </w:p>
        </w:tc>
      </w:tr>
      <w:tr w:rsidR="003C2217" w:rsidRPr="00FD137E" w14:paraId="5B3DB5D7" w14:textId="77777777" w:rsidTr="00FD137E">
        <w:trPr>
          <w:trHeight w:val="454"/>
        </w:trPr>
        <w:tc>
          <w:tcPr>
            <w:cnfStyle w:val="001000000000" w:firstRow="0" w:lastRow="0" w:firstColumn="1" w:lastColumn="0" w:oddVBand="0" w:evenVBand="0" w:oddHBand="0" w:evenHBand="0" w:firstRowFirstColumn="0" w:firstRowLastColumn="0" w:lastRowFirstColumn="0" w:lastRowLastColumn="0"/>
            <w:tcW w:w="741" w:type="dxa"/>
            <w:vAlign w:val="center"/>
            <w:hideMark/>
          </w:tcPr>
          <w:p w14:paraId="6E006AA6" w14:textId="77777777" w:rsidR="003C2217" w:rsidRPr="00FD137E" w:rsidRDefault="003C2217" w:rsidP="00F01225">
            <w:pPr>
              <w:jc w:val="center"/>
              <w:rPr>
                <w:rFonts w:eastAsia="Times New Roman" w:cs="Times New Roman"/>
                <w:b w:val="0"/>
                <w:color w:val="000000"/>
                <w:lang w:eastAsia="hr-HR"/>
              </w:rPr>
            </w:pPr>
            <w:r w:rsidRPr="00FD137E">
              <w:rPr>
                <w:rFonts w:eastAsia="Times New Roman" w:cs="Times New Roman"/>
                <w:b w:val="0"/>
                <w:color w:val="000000"/>
                <w:lang w:eastAsia="hr-HR"/>
              </w:rPr>
              <w:t>8.</w:t>
            </w:r>
          </w:p>
        </w:tc>
        <w:tc>
          <w:tcPr>
            <w:tcW w:w="5775" w:type="dxa"/>
            <w:vAlign w:val="center"/>
            <w:hideMark/>
          </w:tcPr>
          <w:p w14:paraId="2108419E" w14:textId="77777777" w:rsidR="003C2217" w:rsidRPr="00FD137E" w:rsidRDefault="003C2217" w:rsidP="001362A5">
            <w:pPr>
              <w:contextualSpacing/>
              <w:cnfStyle w:val="000000000000" w:firstRow="0" w:lastRow="0" w:firstColumn="0" w:lastColumn="0" w:oddVBand="0" w:evenVBand="0" w:oddHBand="0" w:evenHBand="0" w:firstRowFirstColumn="0" w:firstRowLastColumn="0" w:lastRowFirstColumn="0" w:lastRowLastColumn="0"/>
              <w:rPr>
                <w:color w:val="auto"/>
              </w:rPr>
            </w:pPr>
            <w:r w:rsidRPr="00FD137E">
              <w:rPr>
                <w:color w:val="auto"/>
              </w:rPr>
              <w:t>Ministarstvo graditeljstva i prostornoga uređenja</w:t>
            </w:r>
          </w:p>
        </w:tc>
        <w:tc>
          <w:tcPr>
            <w:tcW w:w="2410" w:type="dxa"/>
            <w:noWrap/>
            <w:vAlign w:val="center"/>
            <w:hideMark/>
          </w:tcPr>
          <w:p w14:paraId="54C9FFAC" w14:textId="77777777" w:rsidR="003C2217" w:rsidRPr="00FD137E" w:rsidRDefault="00DA33C0" w:rsidP="001362A5">
            <w:pPr>
              <w:contextualSpacing/>
              <w:jc w:val="center"/>
              <w:cnfStyle w:val="000000000000" w:firstRow="0" w:lastRow="0" w:firstColumn="0" w:lastColumn="0" w:oddVBand="0" w:evenVBand="0" w:oddHBand="0" w:evenHBand="0" w:firstRowFirstColumn="0" w:firstRowLastColumn="0" w:lastRowFirstColumn="0" w:lastRowLastColumn="0"/>
              <w:rPr>
                <w:color w:val="auto"/>
              </w:rPr>
            </w:pPr>
            <w:r w:rsidRPr="00FD137E">
              <w:rPr>
                <w:color w:val="auto"/>
              </w:rPr>
              <w:t>31</w:t>
            </w:r>
          </w:p>
        </w:tc>
        <w:tc>
          <w:tcPr>
            <w:tcW w:w="2693" w:type="dxa"/>
            <w:noWrap/>
            <w:vAlign w:val="center"/>
            <w:hideMark/>
          </w:tcPr>
          <w:p w14:paraId="646248F1" w14:textId="77777777" w:rsidR="003C2217" w:rsidRPr="00FD137E" w:rsidRDefault="00DA33C0" w:rsidP="001362A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208</w:t>
            </w:r>
          </w:p>
        </w:tc>
        <w:tc>
          <w:tcPr>
            <w:tcW w:w="2410" w:type="dxa"/>
            <w:noWrap/>
            <w:vAlign w:val="center"/>
            <w:hideMark/>
          </w:tcPr>
          <w:p w14:paraId="29952F20" w14:textId="77777777" w:rsidR="003C2217" w:rsidRPr="00FD137E" w:rsidRDefault="00DA33C0" w:rsidP="001362A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770</w:t>
            </w:r>
          </w:p>
        </w:tc>
      </w:tr>
      <w:tr w:rsidR="003C2217" w:rsidRPr="00FD137E" w14:paraId="10B78214" w14:textId="77777777" w:rsidTr="00FD137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41" w:type="dxa"/>
            <w:vAlign w:val="center"/>
            <w:hideMark/>
          </w:tcPr>
          <w:p w14:paraId="6975E36D" w14:textId="77777777" w:rsidR="003C2217" w:rsidRPr="00FD137E" w:rsidRDefault="003C2217" w:rsidP="00F01225">
            <w:pPr>
              <w:jc w:val="center"/>
              <w:rPr>
                <w:rFonts w:eastAsia="Times New Roman" w:cs="Times New Roman"/>
                <w:b w:val="0"/>
                <w:color w:val="000000"/>
                <w:lang w:eastAsia="hr-HR"/>
              </w:rPr>
            </w:pPr>
            <w:r w:rsidRPr="00FD137E">
              <w:rPr>
                <w:rFonts w:eastAsia="Times New Roman" w:cs="Times New Roman"/>
                <w:b w:val="0"/>
                <w:color w:val="000000"/>
                <w:lang w:eastAsia="hr-HR"/>
              </w:rPr>
              <w:t>9.</w:t>
            </w:r>
          </w:p>
        </w:tc>
        <w:tc>
          <w:tcPr>
            <w:tcW w:w="5775" w:type="dxa"/>
            <w:vAlign w:val="center"/>
            <w:hideMark/>
          </w:tcPr>
          <w:p w14:paraId="6AA2C322" w14:textId="77777777" w:rsidR="003C2217" w:rsidRPr="00FD137E" w:rsidRDefault="003C2217" w:rsidP="001362A5">
            <w:pPr>
              <w:contextualSpacing/>
              <w:cnfStyle w:val="000000100000" w:firstRow="0" w:lastRow="0" w:firstColumn="0" w:lastColumn="0" w:oddVBand="0" w:evenVBand="0" w:oddHBand="1" w:evenHBand="0" w:firstRowFirstColumn="0" w:firstRowLastColumn="0" w:lastRowFirstColumn="0" w:lastRowLastColumn="0"/>
              <w:rPr>
                <w:color w:val="auto"/>
              </w:rPr>
            </w:pPr>
            <w:r w:rsidRPr="00FD137E">
              <w:rPr>
                <w:color w:val="auto"/>
              </w:rPr>
              <w:t>Ministarstvo rada i mirovinskoga sustava</w:t>
            </w:r>
          </w:p>
        </w:tc>
        <w:tc>
          <w:tcPr>
            <w:tcW w:w="2410" w:type="dxa"/>
            <w:noWrap/>
            <w:vAlign w:val="center"/>
            <w:hideMark/>
          </w:tcPr>
          <w:p w14:paraId="0124D6D5" w14:textId="77777777" w:rsidR="003C2217" w:rsidRPr="00FD137E" w:rsidRDefault="00512F7D" w:rsidP="001362A5">
            <w:pPr>
              <w:contextualSpacing/>
              <w:jc w:val="center"/>
              <w:cnfStyle w:val="000000100000" w:firstRow="0" w:lastRow="0" w:firstColumn="0" w:lastColumn="0" w:oddVBand="0" w:evenVBand="0" w:oddHBand="1" w:evenHBand="0" w:firstRowFirstColumn="0" w:firstRowLastColumn="0" w:lastRowFirstColumn="0" w:lastRowLastColumn="0"/>
              <w:rPr>
                <w:color w:val="auto"/>
              </w:rPr>
            </w:pPr>
            <w:r w:rsidRPr="00FD137E">
              <w:rPr>
                <w:color w:val="auto"/>
              </w:rPr>
              <w:t>43</w:t>
            </w:r>
          </w:p>
        </w:tc>
        <w:tc>
          <w:tcPr>
            <w:tcW w:w="2693" w:type="dxa"/>
            <w:noWrap/>
            <w:vAlign w:val="center"/>
            <w:hideMark/>
          </w:tcPr>
          <w:p w14:paraId="7D5256EF" w14:textId="77777777" w:rsidR="003C2217" w:rsidRPr="00FD137E" w:rsidRDefault="00512F7D" w:rsidP="001362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202</w:t>
            </w:r>
          </w:p>
        </w:tc>
        <w:tc>
          <w:tcPr>
            <w:tcW w:w="2410" w:type="dxa"/>
            <w:noWrap/>
            <w:vAlign w:val="center"/>
            <w:hideMark/>
          </w:tcPr>
          <w:p w14:paraId="5ADDF972" w14:textId="77777777" w:rsidR="003C2217" w:rsidRPr="00FD137E" w:rsidRDefault="00512F7D" w:rsidP="001362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575</w:t>
            </w:r>
          </w:p>
        </w:tc>
      </w:tr>
      <w:tr w:rsidR="003C2217" w:rsidRPr="00FD137E" w14:paraId="0E84B046" w14:textId="77777777" w:rsidTr="00FD137E">
        <w:trPr>
          <w:trHeight w:val="454"/>
        </w:trPr>
        <w:tc>
          <w:tcPr>
            <w:cnfStyle w:val="001000000000" w:firstRow="0" w:lastRow="0" w:firstColumn="1" w:lastColumn="0" w:oddVBand="0" w:evenVBand="0" w:oddHBand="0" w:evenHBand="0" w:firstRowFirstColumn="0" w:firstRowLastColumn="0" w:lastRowFirstColumn="0" w:lastRowLastColumn="0"/>
            <w:tcW w:w="741" w:type="dxa"/>
            <w:vAlign w:val="center"/>
            <w:hideMark/>
          </w:tcPr>
          <w:p w14:paraId="6B05EFD0" w14:textId="77777777" w:rsidR="003C2217" w:rsidRPr="00FD137E" w:rsidRDefault="003C2217" w:rsidP="00F01225">
            <w:pPr>
              <w:jc w:val="center"/>
              <w:rPr>
                <w:rFonts w:eastAsia="Times New Roman" w:cs="Times New Roman"/>
                <w:b w:val="0"/>
                <w:color w:val="000000"/>
                <w:lang w:eastAsia="hr-HR"/>
              </w:rPr>
            </w:pPr>
            <w:r w:rsidRPr="00FD137E">
              <w:rPr>
                <w:rFonts w:eastAsia="Times New Roman" w:cs="Times New Roman"/>
                <w:b w:val="0"/>
                <w:color w:val="000000"/>
                <w:lang w:eastAsia="hr-HR"/>
              </w:rPr>
              <w:t>10.</w:t>
            </w:r>
          </w:p>
        </w:tc>
        <w:tc>
          <w:tcPr>
            <w:tcW w:w="5775" w:type="dxa"/>
            <w:vAlign w:val="center"/>
            <w:hideMark/>
          </w:tcPr>
          <w:p w14:paraId="5DCDE164" w14:textId="77777777" w:rsidR="003C2217" w:rsidRPr="00FD137E" w:rsidRDefault="003C2217" w:rsidP="001362A5">
            <w:pPr>
              <w:contextualSpacing/>
              <w:cnfStyle w:val="000000000000" w:firstRow="0" w:lastRow="0" w:firstColumn="0" w:lastColumn="0" w:oddVBand="0" w:evenVBand="0" w:oddHBand="0" w:evenHBand="0" w:firstRowFirstColumn="0" w:firstRowLastColumn="0" w:lastRowFirstColumn="0" w:lastRowLastColumn="0"/>
              <w:rPr>
                <w:color w:val="auto"/>
              </w:rPr>
            </w:pPr>
            <w:r w:rsidRPr="00FD137E">
              <w:rPr>
                <w:color w:val="auto"/>
              </w:rPr>
              <w:t>Ministarstvo gospodarstva, poduzetništva i obrta</w:t>
            </w:r>
          </w:p>
        </w:tc>
        <w:tc>
          <w:tcPr>
            <w:tcW w:w="2410" w:type="dxa"/>
            <w:noWrap/>
            <w:vAlign w:val="center"/>
            <w:hideMark/>
          </w:tcPr>
          <w:p w14:paraId="3E4CA9A5" w14:textId="77777777" w:rsidR="003C2217" w:rsidRPr="00FD137E" w:rsidRDefault="00F25D43" w:rsidP="001362A5">
            <w:pPr>
              <w:contextualSpacing/>
              <w:jc w:val="center"/>
              <w:cnfStyle w:val="000000000000" w:firstRow="0" w:lastRow="0" w:firstColumn="0" w:lastColumn="0" w:oddVBand="0" w:evenVBand="0" w:oddHBand="0" w:evenHBand="0" w:firstRowFirstColumn="0" w:firstRowLastColumn="0" w:lastRowFirstColumn="0" w:lastRowLastColumn="0"/>
              <w:rPr>
                <w:color w:val="auto"/>
              </w:rPr>
            </w:pPr>
            <w:r w:rsidRPr="00FD137E">
              <w:rPr>
                <w:color w:val="auto"/>
              </w:rPr>
              <w:t>41</w:t>
            </w:r>
          </w:p>
        </w:tc>
        <w:tc>
          <w:tcPr>
            <w:tcW w:w="2693" w:type="dxa"/>
            <w:noWrap/>
            <w:vAlign w:val="center"/>
            <w:hideMark/>
          </w:tcPr>
          <w:p w14:paraId="1E15037F" w14:textId="77777777" w:rsidR="003C2217" w:rsidRPr="00FD137E" w:rsidRDefault="0029058F" w:rsidP="001362A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164</w:t>
            </w:r>
          </w:p>
        </w:tc>
        <w:tc>
          <w:tcPr>
            <w:tcW w:w="2410" w:type="dxa"/>
            <w:noWrap/>
            <w:vAlign w:val="center"/>
            <w:hideMark/>
          </w:tcPr>
          <w:p w14:paraId="2733EFD6" w14:textId="77777777" w:rsidR="003C2217" w:rsidRPr="00FD137E" w:rsidRDefault="0029058F" w:rsidP="001362A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605</w:t>
            </w:r>
          </w:p>
        </w:tc>
      </w:tr>
      <w:tr w:rsidR="003C2217" w:rsidRPr="00FD137E" w14:paraId="5C90574B" w14:textId="77777777" w:rsidTr="00FD137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41" w:type="dxa"/>
            <w:vAlign w:val="center"/>
            <w:hideMark/>
          </w:tcPr>
          <w:p w14:paraId="136B2481" w14:textId="77777777" w:rsidR="003C2217" w:rsidRPr="00FD137E" w:rsidRDefault="003C2217" w:rsidP="00F01225">
            <w:pPr>
              <w:jc w:val="center"/>
              <w:rPr>
                <w:rFonts w:eastAsia="Times New Roman" w:cs="Times New Roman"/>
                <w:b w:val="0"/>
                <w:color w:val="000000"/>
                <w:lang w:eastAsia="hr-HR"/>
              </w:rPr>
            </w:pPr>
            <w:r w:rsidRPr="00FD137E">
              <w:rPr>
                <w:rFonts w:eastAsia="Times New Roman" w:cs="Times New Roman"/>
                <w:b w:val="0"/>
                <w:color w:val="000000"/>
                <w:lang w:eastAsia="hr-HR"/>
              </w:rPr>
              <w:t>11.</w:t>
            </w:r>
          </w:p>
        </w:tc>
        <w:tc>
          <w:tcPr>
            <w:tcW w:w="5775" w:type="dxa"/>
            <w:vAlign w:val="center"/>
            <w:hideMark/>
          </w:tcPr>
          <w:p w14:paraId="10642FC0" w14:textId="77777777" w:rsidR="003C2217" w:rsidRPr="00FD137E" w:rsidRDefault="003C2217" w:rsidP="001362A5">
            <w:pPr>
              <w:contextualSpacing/>
              <w:cnfStyle w:val="000000100000" w:firstRow="0" w:lastRow="0" w:firstColumn="0" w:lastColumn="0" w:oddVBand="0" w:evenVBand="0" w:oddHBand="1" w:evenHBand="0" w:firstRowFirstColumn="0" w:firstRowLastColumn="0" w:lastRowFirstColumn="0" w:lastRowLastColumn="0"/>
              <w:rPr>
                <w:color w:val="auto"/>
              </w:rPr>
            </w:pPr>
            <w:r w:rsidRPr="00FD137E">
              <w:rPr>
                <w:color w:val="auto"/>
              </w:rPr>
              <w:t>Ministarstvo znanosti i obrazovanja</w:t>
            </w:r>
          </w:p>
        </w:tc>
        <w:tc>
          <w:tcPr>
            <w:tcW w:w="2410" w:type="dxa"/>
            <w:noWrap/>
            <w:vAlign w:val="center"/>
            <w:hideMark/>
          </w:tcPr>
          <w:p w14:paraId="6E8885C8" w14:textId="77777777" w:rsidR="003C2217" w:rsidRPr="00FD137E" w:rsidRDefault="0029058F" w:rsidP="001362A5">
            <w:pPr>
              <w:contextualSpacing/>
              <w:jc w:val="center"/>
              <w:cnfStyle w:val="000000100000" w:firstRow="0" w:lastRow="0" w:firstColumn="0" w:lastColumn="0" w:oddVBand="0" w:evenVBand="0" w:oddHBand="1" w:evenHBand="0" w:firstRowFirstColumn="0" w:firstRowLastColumn="0" w:lastRowFirstColumn="0" w:lastRowLastColumn="0"/>
              <w:rPr>
                <w:color w:val="auto"/>
              </w:rPr>
            </w:pPr>
            <w:r w:rsidRPr="00FD137E">
              <w:rPr>
                <w:color w:val="auto"/>
              </w:rPr>
              <w:t>78</w:t>
            </w:r>
          </w:p>
        </w:tc>
        <w:tc>
          <w:tcPr>
            <w:tcW w:w="2693" w:type="dxa"/>
            <w:noWrap/>
            <w:vAlign w:val="center"/>
            <w:hideMark/>
          </w:tcPr>
          <w:p w14:paraId="068129DE" w14:textId="77777777" w:rsidR="003C2217" w:rsidRPr="00FD137E" w:rsidRDefault="0029058F" w:rsidP="001362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1.191</w:t>
            </w:r>
          </w:p>
        </w:tc>
        <w:tc>
          <w:tcPr>
            <w:tcW w:w="2410" w:type="dxa"/>
            <w:noWrap/>
            <w:vAlign w:val="center"/>
            <w:hideMark/>
          </w:tcPr>
          <w:p w14:paraId="242FE5D1" w14:textId="77777777" w:rsidR="003C2217" w:rsidRPr="00FD137E" w:rsidRDefault="0029058F" w:rsidP="001362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3.426</w:t>
            </w:r>
          </w:p>
        </w:tc>
      </w:tr>
      <w:tr w:rsidR="003C2217" w:rsidRPr="00FD137E" w14:paraId="4A348C1C" w14:textId="77777777" w:rsidTr="00FD137E">
        <w:trPr>
          <w:trHeight w:val="454"/>
        </w:trPr>
        <w:tc>
          <w:tcPr>
            <w:cnfStyle w:val="001000000000" w:firstRow="0" w:lastRow="0" w:firstColumn="1" w:lastColumn="0" w:oddVBand="0" w:evenVBand="0" w:oddHBand="0" w:evenHBand="0" w:firstRowFirstColumn="0" w:firstRowLastColumn="0" w:lastRowFirstColumn="0" w:lastRowLastColumn="0"/>
            <w:tcW w:w="741" w:type="dxa"/>
            <w:vAlign w:val="center"/>
            <w:hideMark/>
          </w:tcPr>
          <w:p w14:paraId="2871C651" w14:textId="77777777" w:rsidR="003C2217" w:rsidRPr="00FD137E" w:rsidRDefault="003C2217" w:rsidP="00F01225">
            <w:pPr>
              <w:jc w:val="center"/>
              <w:rPr>
                <w:rFonts w:eastAsia="Times New Roman" w:cs="Times New Roman"/>
                <w:b w:val="0"/>
                <w:color w:val="000000"/>
                <w:lang w:eastAsia="hr-HR"/>
              </w:rPr>
            </w:pPr>
            <w:r w:rsidRPr="00FD137E">
              <w:rPr>
                <w:rFonts w:eastAsia="Times New Roman" w:cs="Times New Roman"/>
                <w:b w:val="0"/>
                <w:color w:val="000000"/>
                <w:lang w:eastAsia="hr-HR"/>
              </w:rPr>
              <w:t>12.</w:t>
            </w:r>
          </w:p>
        </w:tc>
        <w:tc>
          <w:tcPr>
            <w:tcW w:w="5775" w:type="dxa"/>
            <w:vAlign w:val="center"/>
            <w:hideMark/>
          </w:tcPr>
          <w:p w14:paraId="2FD1E4BF" w14:textId="77777777" w:rsidR="003C2217" w:rsidRPr="00FD137E" w:rsidRDefault="003C2217" w:rsidP="001362A5">
            <w:pPr>
              <w:contextualSpacing/>
              <w:cnfStyle w:val="000000000000" w:firstRow="0" w:lastRow="0" w:firstColumn="0" w:lastColumn="0" w:oddVBand="0" w:evenVBand="0" w:oddHBand="0" w:evenHBand="0" w:firstRowFirstColumn="0" w:firstRowLastColumn="0" w:lastRowFirstColumn="0" w:lastRowLastColumn="0"/>
              <w:rPr>
                <w:color w:val="auto"/>
              </w:rPr>
            </w:pPr>
            <w:r w:rsidRPr="00FD137E">
              <w:rPr>
                <w:color w:val="auto"/>
              </w:rPr>
              <w:t>Ministarstvo kulture</w:t>
            </w:r>
          </w:p>
        </w:tc>
        <w:tc>
          <w:tcPr>
            <w:tcW w:w="2410" w:type="dxa"/>
            <w:noWrap/>
            <w:vAlign w:val="center"/>
            <w:hideMark/>
          </w:tcPr>
          <w:p w14:paraId="22414CA1" w14:textId="77777777" w:rsidR="003C2217" w:rsidRPr="00FD137E" w:rsidRDefault="00512F7D" w:rsidP="001362A5">
            <w:pPr>
              <w:contextualSpacing/>
              <w:jc w:val="center"/>
              <w:cnfStyle w:val="000000000000" w:firstRow="0" w:lastRow="0" w:firstColumn="0" w:lastColumn="0" w:oddVBand="0" w:evenVBand="0" w:oddHBand="0" w:evenHBand="0" w:firstRowFirstColumn="0" w:firstRowLastColumn="0" w:lastRowFirstColumn="0" w:lastRowLastColumn="0"/>
              <w:rPr>
                <w:color w:val="auto"/>
              </w:rPr>
            </w:pPr>
            <w:r w:rsidRPr="00FD137E">
              <w:rPr>
                <w:color w:val="auto"/>
              </w:rPr>
              <w:t>17</w:t>
            </w:r>
          </w:p>
        </w:tc>
        <w:tc>
          <w:tcPr>
            <w:tcW w:w="2693" w:type="dxa"/>
            <w:noWrap/>
            <w:vAlign w:val="center"/>
            <w:hideMark/>
          </w:tcPr>
          <w:p w14:paraId="3E257CC7" w14:textId="77777777" w:rsidR="003C2217" w:rsidRPr="00FD137E" w:rsidRDefault="00512F7D" w:rsidP="001362A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205</w:t>
            </w:r>
          </w:p>
        </w:tc>
        <w:tc>
          <w:tcPr>
            <w:tcW w:w="2410" w:type="dxa"/>
            <w:noWrap/>
            <w:vAlign w:val="center"/>
            <w:hideMark/>
          </w:tcPr>
          <w:p w14:paraId="3F30B24A" w14:textId="77777777" w:rsidR="003C2217" w:rsidRPr="00FD137E" w:rsidRDefault="00512F7D" w:rsidP="001362A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2.721</w:t>
            </w:r>
          </w:p>
        </w:tc>
      </w:tr>
      <w:tr w:rsidR="003C2217" w:rsidRPr="00FD137E" w14:paraId="24418016" w14:textId="77777777" w:rsidTr="00FD137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41" w:type="dxa"/>
            <w:vAlign w:val="center"/>
            <w:hideMark/>
          </w:tcPr>
          <w:p w14:paraId="5CEFF619" w14:textId="77777777" w:rsidR="003C2217" w:rsidRPr="00FD137E" w:rsidRDefault="003C2217" w:rsidP="00F01225">
            <w:pPr>
              <w:jc w:val="center"/>
              <w:rPr>
                <w:rFonts w:eastAsia="Times New Roman" w:cs="Times New Roman"/>
                <w:b w:val="0"/>
                <w:color w:val="000000"/>
                <w:lang w:eastAsia="hr-HR"/>
              </w:rPr>
            </w:pPr>
            <w:r w:rsidRPr="00FD137E">
              <w:rPr>
                <w:rFonts w:eastAsia="Times New Roman" w:cs="Times New Roman"/>
                <w:b w:val="0"/>
                <w:color w:val="000000"/>
                <w:lang w:eastAsia="hr-HR"/>
              </w:rPr>
              <w:t>13.</w:t>
            </w:r>
          </w:p>
        </w:tc>
        <w:tc>
          <w:tcPr>
            <w:tcW w:w="5775" w:type="dxa"/>
            <w:vAlign w:val="center"/>
            <w:hideMark/>
          </w:tcPr>
          <w:p w14:paraId="7CC0F472" w14:textId="77777777" w:rsidR="003C2217" w:rsidRPr="00FD137E" w:rsidRDefault="003C2217" w:rsidP="001362A5">
            <w:pPr>
              <w:contextualSpacing/>
              <w:cnfStyle w:val="000000100000" w:firstRow="0" w:lastRow="0" w:firstColumn="0" w:lastColumn="0" w:oddVBand="0" w:evenVBand="0" w:oddHBand="1" w:evenHBand="0" w:firstRowFirstColumn="0" w:firstRowLastColumn="0" w:lastRowFirstColumn="0" w:lastRowLastColumn="0"/>
              <w:rPr>
                <w:color w:val="auto"/>
              </w:rPr>
            </w:pPr>
            <w:r w:rsidRPr="00FD137E">
              <w:rPr>
                <w:color w:val="auto"/>
              </w:rPr>
              <w:t>Ministarstvo regionalnoga razvoja i fondova EU</w:t>
            </w:r>
          </w:p>
        </w:tc>
        <w:tc>
          <w:tcPr>
            <w:tcW w:w="2410" w:type="dxa"/>
            <w:noWrap/>
            <w:vAlign w:val="center"/>
            <w:hideMark/>
          </w:tcPr>
          <w:p w14:paraId="116EB1AD" w14:textId="77777777" w:rsidR="003C2217" w:rsidRPr="00FD137E" w:rsidRDefault="00512F7D" w:rsidP="001362A5">
            <w:pPr>
              <w:contextualSpacing/>
              <w:jc w:val="center"/>
              <w:cnfStyle w:val="000000100000" w:firstRow="0" w:lastRow="0" w:firstColumn="0" w:lastColumn="0" w:oddVBand="0" w:evenVBand="0" w:oddHBand="1" w:evenHBand="0" w:firstRowFirstColumn="0" w:firstRowLastColumn="0" w:lastRowFirstColumn="0" w:lastRowLastColumn="0"/>
              <w:rPr>
                <w:color w:val="auto"/>
              </w:rPr>
            </w:pPr>
            <w:r w:rsidRPr="00FD137E">
              <w:rPr>
                <w:color w:val="auto"/>
              </w:rPr>
              <w:t>29</w:t>
            </w:r>
          </w:p>
        </w:tc>
        <w:tc>
          <w:tcPr>
            <w:tcW w:w="2693" w:type="dxa"/>
            <w:noWrap/>
            <w:vAlign w:val="center"/>
            <w:hideMark/>
          </w:tcPr>
          <w:p w14:paraId="5EA301DA" w14:textId="77777777" w:rsidR="003C2217" w:rsidRPr="00FD137E" w:rsidRDefault="00512F7D" w:rsidP="001362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103</w:t>
            </w:r>
          </w:p>
        </w:tc>
        <w:tc>
          <w:tcPr>
            <w:tcW w:w="2410" w:type="dxa"/>
            <w:noWrap/>
            <w:vAlign w:val="center"/>
            <w:hideMark/>
          </w:tcPr>
          <w:p w14:paraId="2E8AF764" w14:textId="77777777" w:rsidR="003C2217" w:rsidRPr="00FD137E" w:rsidRDefault="00512F7D" w:rsidP="001362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518</w:t>
            </w:r>
          </w:p>
        </w:tc>
      </w:tr>
      <w:tr w:rsidR="003C2217" w:rsidRPr="00FD137E" w14:paraId="10555282" w14:textId="77777777" w:rsidTr="00FD137E">
        <w:trPr>
          <w:trHeight w:val="454"/>
        </w:trPr>
        <w:tc>
          <w:tcPr>
            <w:cnfStyle w:val="001000000000" w:firstRow="0" w:lastRow="0" w:firstColumn="1" w:lastColumn="0" w:oddVBand="0" w:evenVBand="0" w:oddHBand="0" w:evenHBand="0" w:firstRowFirstColumn="0" w:firstRowLastColumn="0" w:lastRowFirstColumn="0" w:lastRowLastColumn="0"/>
            <w:tcW w:w="741" w:type="dxa"/>
            <w:vAlign w:val="center"/>
          </w:tcPr>
          <w:p w14:paraId="7FDB8DC7" w14:textId="77777777" w:rsidR="003C2217" w:rsidRPr="00FD137E" w:rsidRDefault="003C2217" w:rsidP="00F01225">
            <w:pPr>
              <w:jc w:val="center"/>
              <w:rPr>
                <w:rFonts w:eastAsia="Times New Roman" w:cs="Times New Roman"/>
                <w:b w:val="0"/>
                <w:color w:val="000000"/>
                <w:lang w:eastAsia="hr-HR"/>
              </w:rPr>
            </w:pPr>
            <w:r w:rsidRPr="00FD137E">
              <w:rPr>
                <w:rFonts w:eastAsia="Times New Roman" w:cs="Times New Roman"/>
                <w:b w:val="0"/>
                <w:color w:val="000000"/>
                <w:lang w:eastAsia="hr-HR"/>
              </w:rPr>
              <w:t>14.</w:t>
            </w:r>
          </w:p>
        </w:tc>
        <w:tc>
          <w:tcPr>
            <w:tcW w:w="5775" w:type="dxa"/>
            <w:vAlign w:val="center"/>
          </w:tcPr>
          <w:p w14:paraId="24DAF791" w14:textId="77777777" w:rsidR="003C2217" w:rsidRPr="00FD137E" w:rsidRDefault="003C2217" w:rsidP="001362A5">
            <w:pPr>
              <w:contextualSpacing/>
              <w:cnfStyle w:val="000000000000" w:firstRow="0" w:lastRow="0" w:firstColumn="0" w:lastColumn="0" w:oddVBand="0" w:evenVBand="0" w:oddHBand="0" w:evenHBand="0" w:firstRowFirstColumn="0" w:firstRowLastColumn="0" w:lastRowFirstColumn="0" w:lastRowLastColumn="0"/>
            </w:pPr>
            <w:r w:rsidRPr="00FD137E">
              <w:rPr>
                <w:color w:val="auto"/>
              </w:rPr>
              <w:t xml:space="preserve">Ministarstvo hrvatskih branitelja </w:t>
            </w:r>
          </w:p>
        </w:tc>
        <w:tc>
          <w:tcPr>
            <w:tcW w:w="2410" w:type="dxa"/>
            <w:noWrap/>
            <w:vAlign w:val="center"/>
          </w:tcPr>
          <w:p w14:paraId="7F583B48" w14:textId="77777777" w:rsidR="003C2217" w:rsidRPr="00FD137E" w:rsidRDefault="0029058F" w:rsidP="001362A5">
            <w:pPr>
              <w:contextualSpacing/>
              <w:jc w:val="center"/>
              <w:cnfStyle w:val="000000000000" w:firstRow="0" w:lastRow="0" w:firstColumn="0" w:lastColumn="0" w:oddVBand="0" w:evenVBand="0" w:oddHBand="0" w:evenHBand="0" w:firstRowFirstColumn="0" w:firstRowLastColumn="0" w:lastRowFirstColumn="0" w:lastRowLastColumn="0"/>
            </w:pPr>
            <w:r w:rsidRPr="00FD137E">
              <w:rPr>
                <w:color w:val="auto"/>
              </w:rPr>
              <w:t>20</w:t>
            </w:r>
            <w:r w:rsidR="009E2E38" w:rsidRPr="00FD137E">
              <w:rPr>
                <w:rStyle w:val="FootnoteReference"/>
                <w:color w:val="auto"/>
              </w:rPr>
              <w:footnoteReference w:id="10"/>
            </w:r>
          </w:p>
        </w:tc>
        <w:tc>
          <w:tcPr>
            <w:tcW w:w="2693" w:type="dxa"/>
            <w:noWrap/>
            <w:vAlign w:val="center"/>
          </w:tcPr>
          <w:p w14:paraId="76E72F8A" w14:textId="77777777" w:rsidR="003C2217" w:rsidRPr="00FD137E" w:rsidRDefault="0029058F" w:rsidP="001362A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16</w:t>
            </w:r>
          </w:p>
        </w:tc>
        <w:tc>
          <w:tcPr>
            <w:tcW w:w="2410" w:type="dxa"/>
            <w:noWrap/>
            <w:vAlign w:val="center"/>
          </w:tcPr>
          <w:p w14:paraId="1E17C10A" w14:textId="77777777" w:rsidR="003C2217" w:rsidRPr="00FD137E" w:rsidRDefault="0029058F" w:rsidP="001362A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33</w:t>
            </w:r>
          </w:p>
        </w:tc>
      </w:tr>
      <w:tr w:rsidR="003C2217" w:rsidRPr="00FD137E" w14:paraId="66629FEC" w14:textId="77777777" w:rsidTr="00FD137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41" w:type="dxa"/>
            <w:vAlign w:val="center"/>
            <w:hideMark/>
          </w:tcPr>
          <w:p w14:paraId="344B0FB5" w14:textId="77777777" w:rsidR="003C2217" w:rsidRPr="00FD137E" w:rsidRDefault="003C2217" w:rsidP="00F01225">
            <w:pPr>
              <w:jc w:val="center"/>
              <w:rPr>
                <w:rFonts w:eastAsia="Times New Roman" w:cs="Times New Roman"/>
                <w:b w:val="0"/>
                <w:color w:val="000000"/>
                <w:lang w:eastAsia="hr-HR"/>
              </w:rPr>
            </w:pPr>
            <w:r w:rsidRPr="00FD137E">
              <w:rPr>
                <w:rFonts w:eastAsia="Times New Roman" w:cs="Times New Roman"/>
                <w:b w:val="0"/>
                <w:color w:val="000000"/>
                <w:lang w:eastAsia="hr-HR"/>
              </w:rPr>
              <w:t>15.</w:t>
            </w:r>
          </w:p>
        </w:tc>
        <w:tc>
          <w:tcPr>
            <w:tcW w:w="5775" w:type="dxa"/>
            <w:vAlign w:val="center"/>
            <w:hideMark/>
          </w:tcPr>
          <w:p w14:paraId="3EA65B5C" w14:textId="77777777" w:rsidR="003C2217" w:rsidRPr="00FD137E" w:rsidRDefault="003C2217" w:rsidP="001362A5">
            <w:pPr>
              <w:contextualSpacing/>
              <w:cnfStyle w:val="000000100000" w:firstRow="0" w:lastRow="0" w:firstColumn="0" w:lastColumn="0" w:oddVBand="0" w:evenVBand="0" w:oddHBand="1" w:evenHBand="0" w:firstRowFirstColumn="0" w:firstRowLastColumn="0" w:lastRowFirstColumn="0" w:lastRowLastColumn="0"/>
              <w:rPr>
                <w:color w:val="auto"/>
              </w:rPr>
            </w:pPr>
            <w:r w:rsidRPr="00FD137E">
              <w:rPr>
                <w:color w:val="auto"/>
              </w:rPr>
              <w:t>Ministarstvo turizma</w:t>
            </w:r>
          </w:p>
        </w:tc>
        <w:tc>
          <w:tcPr>
            <w:tcW w:w="2410" w:type="dxa"/>
            <w:noWrap/>
            <w:vAlign w:val="center"/>
            <w:hideMark/>
          </w:tcPr>
          <w:p w14:paraId="0F0BB2A4" w14:textId="77777777" w:rsidR="003C2217" w:rsidRPr="00FD137E" w:rsidRDefault="003C2217" w:rsidP="0024481D">
            <w:pPr>
              <w:contextualSpacing/>
              <w:jc w:val="center"/>
              <w:cnfStyle w:val="000000100000" w:firstRow="0" w:lastRow="0" w:firstColumn="0" w:lastColumn="0" w:oddVBand="0" w:evenVBand="0" w:oddHBand="1" w:evenHBand="0" w:firstRowFirstColumn="0" w:firstRowLastColumn="0" w:lastRowFirstColumn="0" w:lastRowLastColumn="0"/>
              <w:rPr>
                <w:color w:val="auto"/>
              </w:rPr>
            </w:pPr>
            <w:r w:rsidRPr="00FD137E">
              <w:rPr>
                <w:color w:val="auto"/>
              </w:rPr>
              <w:t>1</w:t>
            </w:r>
            <w:r w:rsidR="0024481D" w:rsidRPr="00FD137E">
              <w:rPr>
                <w:color w:val="auto"/>
              </w:rPr>
              <w:t>1</w:t>
            </w:r>
          </w:p>
        </w:tc>
        <w:tc>
          <w:tcPr>
            <w:tcW w:w="2693" w:type="dxa"/>
            <w:noWrap/>
            <w:vAlign w:val="center"/>
            <w:hideMark/>
          </w:tcPr>
          <w:p w14:paraId="4ED0E55D" w14:textId="77777777" w:rsidR="003C2217" w:rsidRPr="00FD137E" w:rsidRDefault="0024481D" w:rsidP="001362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135</w:t>
            </w:r>
          </w:p>
        </w:tc>
        <w:tc>
          <w:tcPr>
            <w:tcW w:w="2410" w:type="dxa"/>
            <w:noWrap/>
            <w:vAlign w:val="center"/>
            <w:hideMark/>
          </w:tcPr>
          <w:p w14:paraId="3EFC0BEF" w14:textId="77777777" w:rsidR="003C2217" w:rsidRPr="00FD137E" w:rsidRDefault="0024481D" w:rsidP="001362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360</w:t>
            </w:r>
          </w:p>
        </w:tc>
      </w:tr>
      <w:tr w:rsidR="003C2217" w:rsidRPr="00FD137E" w14:paraId="63AADFDC" w14:textId="77777777" w:rsidTr="00FD137E">
        <w:trPr>
          <w:trHeight w:val="454"/>
        </w:trPr>
        <w:tc>
          <w:tcPr>
            <w:cnfStyle w:val="001000000000" w:firstRow="0" w:lastRow="0" w:firstColumn="1" w:lastColumn="0" w:oddVBand="0" w:evenVBand="0" w:oddHBand="0" w:evenHBand="0" w:firstRowFirstColumn="0" w:firstRowLastColumn="0" w:lastRowFirstColumn="0" w:lastRowLastColumn="0"/>
            <w:tcW w:w="741" w:type="dxa"/>
            <w:vAlign w:val="center"/>
            <w:hideMark/>
          </w:tcPr>
          <w:p w14:paraId="709E013D" w14:textId="77777777" w:rsidR="003C2217" w:rsidRPr="00FD137E" w:rsidRDefault="003C2217" w:rsidP="00F01225">
            <w:pPr>
              <w:jc w:val="center"/>
              <w:rPr>
                <w:rFonts w:eastAsia="Times New Roman" w:cs="Times New Roman"/>
                <w:b w:val="0"/>
                <w:color w:val="000000"/>
                <w:lang w:eastAsia="hr-HR"/>
              </w:rPr>
            </w:pPr>
            <w:r w:rsidRPr="00FD137E">
              <w:rPr>
                <w:rFonts w:eastAsia="Times New Roman" w:cs="Times New Roman"/>
                <w:b w:val="0"/>
                <w:color w:val="000000"/>
                <w:lang w:eastAsia="hr-HR"/>
              </w:rPr>
              <w:lastRenderedPageBreak/>
              <w:t>16.</w:t>
            </w:r>
          </w:p>
        </w:tc>
        <w:tc>
          <w:tcPr>
            <w:tcW w:w="5775" w:type="dxa"/>
            <w:vAlign w:val="center"/>
            <w:hideMark/>
          </w:tcPr>
          <w:p w14:paraId="78A27F90" w14:textId="77777777" w:rsidR="003C2217" w:rsidRPr="00FD137E" w:rsidRDefault="003C2217" w:rsidP="001362A5">
            <w:pPr>
              <w:contextualSpacing/>
              <w:cnfStyle w:val="000000000000" w:firstRow="0" w:lastRow="0" w:firstColumn="0" w:lastColumn="0" w:oddVBand="0" w:evenVBand="0" w:oddHBand="0" w:evenHBand="0" w:firstRowFirstColumn="0" w:firstRowLastColumn="0" w:lastRowFirstColumn="0" w:lastRowLastColumn="0"/>
              <w:rPr>
                <w:color w:val="auto"/>
              </w:rPr>
            </w:pPr>
            <w:r w:rsidRPr="00FD137E">
              <w:rPr>
                <w:color w:val="auto"/>
              </w:rPr>
              <w:t>Ministarstvo unutarnjih poslova</w:t>
            </w:r>
          </w:p>
        </w:tc>
        <w:tc>
          <w:tcPr>
            <w:tcW w:w="2410" w:type="dxa"/>
            <w:noWrap/>
            <w:vAlign w:val="center"/>
            <w:hideMark/>
          </w:tcPr>
          <w:p w14:paraId="0D04A1A4" w14:textId="77777777" w:rsidR="003C2217" w:rsidRPr="00FD137E" w:rsidRDefault="0024481D" w:rsidP="001362A5">
            <w:pPr>
              <w:contextualSpacing/>
              <w:jc w:val="center"/>
              <w:cnfStyle w:val="000000000000" w:firstRow="0" w:lastRow="0" w:firstColumn="0" w:lastColumn="0" w:oddVBand="0" w:evenVBand="0" w:oddHBand="0" w:evenHBand="0" w:firstRowFirstColumn="0" w:firstRowLastColumn="0" w:lastRowFirstColumn="0" w:lastRowLastColumn="0"/>
              <w:rPr>
                <w:color w:val="auto"/>
              </w:rPr>
            </w:pPr>
            <w:r w:rsidRPr="00FD137E">
              <w:rPr>
                <w:color w:val="auto"/>
              </w:rPr>
              <w:t>26</w:t>
            </w:r>
          </w:p>
        </w:tc>
        <w:tc>
          <w:tcPr>
            <w:tcW w:w="2693" w:type="dxa"/>
            <w:noWrap/>
            <w:vAlign w:val="center"/>
            <w:hideMark/>
          </w:tcPr>
          <w:p w14:paraId="05B9BA78" w14:textId="77777777" w:rsidR="003C2217" w:rsidRPr="00FD137E" w:rsidRDefault="0024481D" w:rsidP="001362A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78</w:t>
            </w:r>
          </w:p>
        </w:tc>
        <w:tc>
          <w:tcPr>
            <w:tcW w:w="2410" w:type="dxa"/>
            <w:noWrap/>
            <w:vAlign w:val="center"/>
            <w:hideMark/>
          </w:tcPr>
          <w:p w14:paraId="41332F50" w14:textId="77777777" w:rsidR="003C2217" w:rsidRPr="00FD137E" w:rsidRDefault="0024481D" w:rsidP="001362A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390</w:t>
            </w:r>
          </w:p>
        </w:tc>
      </w:tr>
      <w:tr w:rsidR="003C2217" w:rsidRPr="00FD137E" w14:paraId="71B5FB1B" w14:textId="77777777" w:rsidTr="00FD137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41" w:type="dxa"/>
            <w:vAlign w:val="center"/>
            <w:hideMark/>
          </w:tcPr>
          <w:p w14:paraId="2D5AE5EC" w14:textId="77777777" w:rsidR="003C2217" w:rsidRPr="00FD137E" w:rsidRDefault="003C2217" w:rsidP="00F01225">
            <w:pPr>
              <w:jc w:val="center"/>
              <w:rPr>
                <w:rFonts w:eastAsia="Times New Roman" w:cs="Times New Roman"/>
                <w:b w:val="0"/>
                <w:color w:val="000000"/>
                <w:lang w:eastAsia="hr-HR"/>
              </w:rPr>
            </w:pPr>
            <w:r w:rsidRPr="00FD137E">
              <w:rPr>
                <w:rFonts w:eastAsia="Times New Roman" w:cs="Times New Roman"/>
                <w:b w:val="0"/>
                <w:color w:val="000000"/>
                <w:lang w:eastAsia="hr-HR"/>
              </w:rPr>
              <w:t>17.</w:t>
            </w:r>
          </w:p>
        </w:tc>
        <w:tc>
          <w:tcPr>
            <w:tcW w:w="5775" w:type="dxa"/>
            <w:vAlign w:val="center"/>
            <w:hideMark/>
          </w:tcPr>
          <w:p w14:paraId="133350E6" w14:textId="77777777" w:rsidR="003C2217" w:rsidRPr="00FD137E" w:rsidRDefault="003C2217" w:rsidP="001362A5">
            <w:pPr>
              <w:contextualSpacing/>
              <w:cnfStyle w:val="000000100000" w:firstRow="0" w:lastRow="0" w:firstColumn="0" w:lastColumn="0" w:oddVBand="0" w:evenVBand="0" w:oddHBand="1" w:evenHBand="0" w:firstRowFirstColumn="0" w:firstRowLastColumn="0" w:lastRowFirstColumn="0" w:lastRowLastColumn="0"/>
              <w:rPr>
                <w:color w:val="auto"/>
              </w:rPr>
            </w:pPr>
            <w:r w:rsidRPr="00FD137E">
              <w:rPr>
                <w:color w:val="auto"/>
              </w:rPr>
              <w:t>Ministarstvo uprave</w:t>
            </w:r>
          </w:p>
        </w:tc>
        <w:tc>
          <w:tcPr>
            <w:tcW w:w="2410" w:type="dxa"/>
            <w:noWrap/>
            <w:vAlign w:val="center"/>
            <w:hideMark/>
          </w:tcPr>
          <w:p w14:paraId="32B349F1" w14:textId="77777777" w:rsidR="003C2217" w:rsidRPr="00FD137E" w:rsidRDefault="0024481D" w:rsidP="001362A5">
            <w:pPr>
              <w:contextualSpacing/>
              <w:jc w:val="center"/>
              <w:cnfStyle w:val="000000100000" w:firstRow="0" w:lastRow="0" w:firstColumn="0" w:lastColumn="0" w:oddVBand="0" w:evenVBand="0" w:oddHBand="1" w:evenHBand="0" w:firstRowFirstColumn="0" w:firstRowLastColumn="0" w:lastRowFirstColumn="0" w:lastRowLastColumn="0"/>
              <w:rPr>
                <w:color w:val="auto"/>
              </w:rPr>
            </w:pPr>
            <w:r w:rsidRPr="00FD137E">
              <w:rPr>
                <w:color w:val="auto"/>
              </w:rPr>
              <w:t>13</w:t>
            </w:r>
          </w:p>
        </w:tc>
        <w:tc>
          <w:tcPr>
            <w:tcW w:w="2693" w:type="dxa"/>
            <w:noWrap/>
            <w:vAlign w:val="center"/>
            <w:hideMark/>
          </w:tcPr>
          <w:p w14:paraId="232879D8" w14:textId="77777777" w:rsidR="003C2217" w:rsidRPr="00FD137E" w:rsidRDefault="0024481D" w:rsidP="001362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93</w:t>
            </w:r>
          </w:p>
        </w:tc>
        <w:tc>
          <w:tcPr>
            <w:tcW w:w="2410" w:type="dxa"/>
            <w:noWrap/>
            <w:vAlign w:val="center"/>
            <w:hideMark/>
          </w:tcPr>
          <w:p w14:paraId="62D71E65" w14:textId="77777777" w:rsidR="003C2217" w:rsidRPr="00FD137E" w:rsidRDefault="0024481D" w:rsidP="001362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466</w:t>
            </w:r>
          </w:p>
        </w:tc>
      </w:tr>
      <w:tr w:rsidR="003C2217" w:rsidRPr="00FD137E" w14:paraId="627698DE" w14:textId="77777777" w:rsidTr="00FD137E">
        <w:trPr>
          <w:trHeight w:val="454"/>
        </w:trPr>
        <w:tc>
          <w:tcPr>
            <w:cnfStyle w:val="001000000000" w:firstRow="0" w:lastRow="0" w:firstColumn="1" w:lastColumn="0" w:oddVBand="0" w:evenVBand="0" w:oddHBand="0" w:evenHBand="0" w:firstRowFirstColumn="0" w:firstRowLastColumn="0" w:lastRowFirstColumn="0" w:lastRowLastColumn="0"/>
            <w:tcW w:w="741" w:type="dxa"/>
            <w:vAlign w:val="center"/>
            <w:hideMark/>
          </w:tcPr>
          <w:p w14:paraId="6D6F22A8" w14:textId="77777777" w:rsidR="003C2217" w:rsidRPr="00FD137E" w:rsidRDefault="003C2217" w:rsidP="00F01225">
            <w:pPr>
              <w:jc w:val="center"/>
              <w:rPr>
                <w:rFonts w:eastAsia="Times New Roman" w:cs="Times New Roman"/>
                <w:b w:val="0"/>
                <w:color w:val="000000"/>
                <w:lang w:eastAsia="hr-HR"/>
              </w:rPr>
            </w:pPr>
            <w:r w:rsidRPr="00FD137E">
              <w:rPr>
                <w:rFonts w:eastAsia="Times New Roman" w:cs="Times New Roman"/>
                <w:b w:val="0"/>
                <w:color w:val="000000"/>
                <w:lang w:eastAsia="hr-HR"/>
              </w:rPr>
              <w:t>18.</w:t>
            </w:r>
          </w:p>
        </w:tc>
        <w:tc>
          <w:tcPr>
            <w:tcW w:w="5775" w:type="dxa"/>
            <w:vAlign w:val="center"/>
            <w:hideMark/>
          </w:tcPr>
          <w:p w14:paraId="5B917DF1" w14:textId="77777777" w:rsidR="003C2217" w:rsidRPr="00FD137E" w:rsidRDefault="003C2217" w:rsidP="001362A5">
            <w:pPr>
              <w:contextualSpacing/>
              <w:cnfStyle w:val="000000000000" w:firstRow="0" w:lastRow="0" w:firstColumn="0" w:lastColumn="0" w:oddVBand="0" w:evenVBand="0" w:oddHBand="0" w:evenHBand="0" w:firstRowFirstColumn="0" w:firstRowLastColumn="0" w:lastRowFirstColumn="0" w:lastRowLastColumn="0"/>
              <w:rPr>
                <w:color w:val="auto"/>
              </w:rPr>
            </w:pPr>
            <w:r w:rsidRPr="00FD137E">
              <w:rPr>
                <w:color w:val="auto"/>
              </w:rPr>
              <w:t>Ministarstvo obrane</w:t>
            </w:r>
          </w:p>
        </w:tc>
        <w:tc>
          <w:tcPr>
            <w:tcW w:w="2410" w:type="dxa"/>
            <w:noWrap/>
            <w:vAlign w:val="center"/>
            <w:hideMark/>
          </w:tcPr>
          <w:p w14:paraId="77996A94" w14:textId="77777777" w:rsidR="003C2217" w:rsidRPr="00FD137E" w:rsidRDefault="0024481D" w:rsidP="001362A5">
            <w:pPr>
              <w:contextualSpacing/>
              <w:jc w:val="center"/>
              <w:cnfStyle w:val="000000000000" w:firstRow="0" w:lastRow="0" w:firstColumn="0" w:lastColumn="0" w:oddVBand="0" w:evenVBand="0" w:oddHBand="0" w:evenHBand="0" w:firstRowFirstColumn="0" w:firstRowLastColumn="0" w:lastRowFirstColumn="0" w:lastRowLastColumn="0"/>
              <w:rPr>
                <w:color w:val="auto"/>
              </w:rPr>
            </w:pPr>
            <w:r w:rsidRPr="00FD137E">
              <w:rPr>
                <w:color w:val="auto"/>
              </w:rPr>
              <w:t>4</w:t>
            </w:r>
          </w:p>
        </w:tc>
        <w:tc>
          <w:tcPr>
            <w:tcW w:w="2693" w:type="dxa"/>
            <w:noWrap/>
            <w:vAlign w:val="center"/>
            <w:hideMark/>
          </w:tcPr>
          <w:p w14:paraId="539A9C69" w14:textId="77777777" w:rsidR="003C2217" w:rsidRPr="00FD137E" w:rsidRDefault="0024481D" w:rsidP="001362A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4</w:t>
            </w:r>
          </w:p>
        </w:tc>
        <w:tc>
          <w:tcPr>
            <w:tcW w:w="2410" w:type="dxa"/>
            <w:noWrap/>
            <w:vAlign w:val="center"/>
            <w:hideMark/>
          </w:tcPr>
          <w:p w14:paraId="6D6F50AB" w14:textId="77777777" w:rsidR="003C2217" w:rsidRPr="00FD137E" w:rsidRDefault="0024481D" w:rsidP="001362A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10</w:t>
            </w:r>
          </w:p>
        </w:tc>
      </w:tr>
      <w:tr w:rsidR="003C2217" w:rsidRPr="00FD137E" w14:paraId="12D2E63A" w14:textId="77777777" w:rsidTr="00FD137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41" w:type="dxa"/>
            <w:vAlign w:val="center"/>
          </w:tcPr>
          <w:p w14:paraId="7AD37A73" w14:textId="40A0F1D2" w:rsidR="003C2217" w:rsidRPr="00FD137E" w:rsidRDefault="003C2217" w:rsidP="00F01225">
            <w:pPr>
              <w:jc w:val="center"/>
              <w:rPr>
                <w:rFonts w:eastAsia="Times New Roman" w:cs="Times New Roman"/>
                <w:b w:val="0"/>
                <w:color w:val="000000"/>
                <w:lang w:eastAsia="hr-HR"/>
              </w:rPr>
            </w:pPr>
            <w:r w:rsidRPr="00FD137E">
              <w:rPr>
                <w:rFonts w:eastAsia="Times New Roman" w:cs="Times New Roman"/>
                <w:b w:val="0"/>
                <w:color w:val="000000"/>
                <w:lang w:eastAsia="hr-HR"/>
              </w:rPr>
              <w:t>19.</w:t>
            </w:r>
          </w:p>
        </w:tc>
        <w:tc>
          <w:tcPr>
            <w:tcW w:w="5775" w:type="dxa"/>
            <w:vAlign w:val="center"/>
          </w:tcPr>
          <w:p w14:paraId="1E0D8D02" w14:textId="77777777" w:rsidR="003C2217" w:rsidRPr="00FD137E" w:rsidRDefault="003C2217" w:rsidP="001362A5">
            <w:pPr>
              <w:contextualSpacing/>
              <w:cnfStyle w:val="000000100000" w:firstRow="0" w:lastRow="0" w:firstColumn="0" w:lastColumn="0" w:oddVBand="0" w:evenVBand="0" w:oddHBand="1" w:evenHBand="0" w:firstRowFirstColumn="0" w:firstRowLastColumn="0" w:lastRowFirstColumn="0" w:lastRowLastColumn="0"/>
            </w:pPr>
            <w:r w:rsidRPr="00FD137E">
              <w:rPr>
                <w:color w:val="auto"/>
              </w:rPr>
              <w:t>Ministarstvo vanjskih i europskih poslova</w:t>
            </w:r>
          </w:p>
        </w:tc>
        <w:tc>
          <w:tcPr>
            <w:tcW w:w="2410" w:type="dxa"/>
            <w:noWrap/>
            <w:vAlign w:val="center"/>
          </w:tcPr>
          <w:p w14:paraId="08E749B1" w14:textId="77777777" w:rsidR="003C2217" w:rsidRPr="00FD137E" w:rsidRDefault="0024481D" w:rsidP="001362A5">
            <w:pPr>
              <w:contextualSpacing/>
              <w:jc w:val="center"/>
              <w:cnfStyle w:val="000000100000" w:firstRow="0" w:lastRow="0" w:firstColumn="0" w:lastColumn="0" w:oddVBand="0" w:evenVBand="0" w:oddHBand="1" w:evenHBand="0" w:firstRowFirstColumn="0" w:firstRowLastColumn="0" w:lastRowFirstColumn="0" w:lastRowLastColumn="0"/>
            </w:pPr>
            <w:r w:rsidRPr="00FD137E">
              <w:rPr>
                <w:color w:val="auto"/>
              </w:rPr>
              <w:t>4</w:t>
            </w:r>
          </w:p>
        </w:tc>
        <w:tc>
          <w:tcPr>
            <w:tcW w:w="2693" w:type="dxa"/>
            <w:noWrap/>
            <w:vAlign w:val="center"/>
          </w:tcPr>
          <w:p w14:paraId="2C02B51D" w14:textId="77777777" w:rsidR="003C2217" w:rsidRPr="00FD137E" w:rsidRDefault="00BA1CE0" w:rsidP="001362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7</w:t>
            </w:r>
          </w:p>
        </w:tc>
        <w:tc>
          <w:tcPr>
            <w:tcW w:w="2410" w:type="dxa"/>
            <w:noWrap/>
            <w:vAlign w:val="center"/>
          </w:tcPr>
          <w:p w14:paraId="7EEADAA5" w14:textId="77777777" w:rsidR="003C2217" w:rsidRPr="00FD137E" w:rsidRDefault="00BA1CE0" w:rsidP="001362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24</w:t>
            </w:r>
          </w:p>
        </w:tc>
      </w:tr>
      <w:tr w:rsidR="003C2217" w:rsidRPr="00FD137E" w14:paraId="121BDBA9" w14:textId="77777777" w:rsidTr="00FD137E">
        <w:trPr>
          <w:trHeight w:val="454"/>
        </w:trPr>
        <w:tc>
          <w:tcPr>
            <w:cnfStyle w:val="001000000000" w:firstRow="0" w:lastRow="0" w:firstColumn="1" w:lastColumn="0" w:oddVBand="0" w:evenVBand="0" w:oddHBand="0" w:evenHBand="0" w:firstRowFirstColumn="0" w:firstRowLastColumn="0" w:lastRowFirstColumn="0" w:lastRowLastColumn="0"/>
            <w:tcW w:w="741" w:type="dxa"/>
            <w:vAlign w:val="center"/>
            <w:hideMark/>
          </w:tcPr>
          <w:p w14:paraId="3FD70355" w14:textId="77777777" w:rsidR="003C2217" w:rsidRPr="00FD137E" w:rsidRDefault="003C2217" w:rsidP="00F01225">
            <w:pPr>
              <w:jc w:val="center"/>
              <w:rPr>
                <w:rFonts w:eastAsia="Times New Roman" w:cs="Times New Roman"/>
                <w:b w:val="0"/>
                <w:color w:val="000000"/>
                <w:lang w:eastAsia="hr-HR"/>
              </w:rPr>
            </w:pPr>
            <w:r w:rsidRPr="00FD137E">
              <w:rPr>
                <w:rFonts w:eastAsia="Times New Roman" w:cs="Times New Roman"/>
                <w:b w:val="0"/>
                <w:color w:val="000000"/>
                <w:lang w:eastAsia="hr-HR"/>
              </w:rPr>
              <w:t>20.</w:t>
            </w:r>
          </w:p>
        </w:tc>
        <w:tc>
          <w:tcPr>
            <w:tcW w:w="5775" w:type="dxa"/>
            <w:vAlign w:val="center"/>
            <w:hideMark/>
          </w:tcPr>
          <w:p w14:paraId="36A79990" w14:textId="77777777" w:rsidR="003C2217" w:rsidRPr="00FD137E" w:rsidRDefault="003C2217" w:rsidP="001362A5">
            <w:pPr>
              <w:contextualSpacing/>
              <w:cnfStyle w:val="000000000000" w:firstRow="0" w:lastRow="0" w:firstColumn="0" w:lastColumn="0" w:oddVBand="0" w:evenVBand="0" w:oddHBand="0" w:evenHBand="0" w:firstRowFirstColumn="0" w:firstRowLastColumn="0" w:lastRowFirstColumn="0" w:lastRowLastColumn="0"/>
              <w:rPr>
                <w:color w:val="auto"/>
              </w:rPr>
            </w:pPr>
            <w:r w:rsidRPr="00FD137E">
              <w:rPr>
                <w:color w:val="auto"/>
              </w:rPr>
              <w:t>Ministarstvo državne imovine</w:t>
            </w:r>
          </w:p>
        </w:tc>
        <w:tc>
          <w:tcPr>
            <w:tcW w:w="2410" w:type="dxa"/>
            <w:noWrap/>
            <w:vAlign w:val="center"/>
            <w:hideMark/>
          </w:tcPr>
          <w:p w14:paraId="56BB004E" w14:textId="77777777" w:rsidR="003C2217" w:rsidRPr="00FD137E" w:rsidRDefault="009E4FA3" w:rsidP="001362A5">
            <w:pPr>
              <w:contextualSpacing/>
              <w:jc w:val="center"/>
              <w:cnfStyle w:val="000000000000" w:firstRow="0" w:lastRow="0" w:firstColumn="0" w:lastColumn="0" w:oddVBand="0" w:evenVBand="0" w:oddHBand="0" w:evenHBand="0" w:firstRowFirstColumn="0" w:firstRowLastColumn="0" w:lastRowFirstColumn="0" w:lastRowLastColumn="0"/>
              <w:rPr>
                <w:color w:val="auto"/>
              </w:rPr>
            </w:pPr>
            <w:r w:rsidRPr="00FD137E">
              <w:rPr>
                <w:color w:val="auto"/>
              </w:rPr>
              <w:t>14</w:t>
            </w:r>
          </w:p>
        </w:tc>
        <w:tc>
          <w:tcPr>
            <w:tcW w:w="2693" w:type="dxa"/>
            <w:noWrap/>
            <w:vAlign w:val="center"/>
            <w:hideMark/>
          </w:tcPr>
          <w:p w14:paraId="5F0785C1" w14:textId="77777777" w:rsidR="003C2217" w:rsidRPr="00FD137E" w:rsidRDefault="009E4FA3" w:rsidP="001362A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auto"/>
                <w:lang w:eastAsia="hr-HR"/>
              </w:rPr>
            </w:pPr>
            <w:r w:rsidRPr="00FD137E">
              <w:rPr>
                <w:rFonts w:eastAsia="Times New Roman" w:cs="Times New Roman"/>
                <w:bCs/>
                <w:color w:val="auto"/>
                <w:lang w:eastAsia="hr-HR"/>
              </w:rPr>
              <w:t>14</w:t>
            </w:r>
          </w:p>
        </w:tc>
        <w:tc>
          <w:tcPr>
            <w:tcW w:w="2410" w:type="dxa"/>
            <w:noWrap/>
            <w:vAlign w:val="center"/>
            <w:hideMark/>
          </w:tcPr>
          <w:p w14:paraId="3EA319A6" w14:textId="77777777" w:rsidR="003C2217" w:rsidRPr="00FD137E" w:rsidRDefault="009E4FA3" w:rsidP="001362A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auto"/>
                <w:lang w:eastAsia="hr-HR"/>
              </w:rPr>
            </w:pPr>
            <w:r w:rsidRPr="00FD137E">
              <w:rPr>
                <w:rFonts w:eastAsia="Times New Roman" w:cs="Times New Roman"/>
                <w:bCs/>
                <w:color w:val="auto"/>
                <w:lang w:eastAsia="hr-HR"/>
              </w:rPr>
              <w:t>29</w:t>
            </w:r>
          </w:p>
        </w:tc>
      </w:tr>
      <w:tr w:rsidR="003C2217" w:rsidRPr="00FD137E" w14:paraId="6D9AACA7" w14:textId="77777777" w:rsidTr="00FD137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41" w:type="dxa"/>
            <w:noWrap/>
            <w:vAlign w:val="center"/>
            <w:hideMark/>
          </w:tcPr>
          <w:p w14:paraId="51C69A84" w14:textId="77777777" w:rsidR="003C2217" w:rsidRPr="00FD137E" w:rsidRDefault="003C2217" w:rsidP="00F01225">
            <w:pPr>
              <w:jc w:val="center"/>
              <w:rPr>
                <w:rFonts w:eastAsia="Times New Roman" w:cs="Times New Roman"/>
                <w:b w:val="0"/>
                <w:color w:val="000000"/>
                <w:lang w:eastAsia="hr-HR"/>
              </w:rPr>
            </w:pPr>
            <w:r w:rsidRPr="00FD137E">
              <w:rPr>
                <w:rFonts w:eastAsia="Times New Roman" w:cs="Times New Roman"/>
                <w:b w:val="0"/>
                <w:color w:val="000000"/>
                <w:lang w:eastAsia="hr-HR"/>
              </w:rPr>
              <w:t>21.</w:t>
            </w:r>
          </w:p>
        </w:tc>
        <w:tc>
          <w:tcPr>
            <w:tcW w:w="5775" w:type="dxa"/>
            <w:vAlign w:val="center"/>
            <w:hideMark/>
          </w:tcPr>
          <w:p w14:paraId="4B2295AA" w14:textId="77777777" w:rsidR="003C2217" w:rsidRPr="00FD137E" w:rsidRDefault="003C2217" w:rsidP="001362A5">
            <w:pPr>
              <w:contextualSpacing/>
              <w:cnfStyle w:val="000000100000" w:firstRow="0" w:lastRow="0" w:firstColumn="0" w:lastColumn="0" w:oddVBand="0" w:evenVBand="0" w:oddHBand="1" w:evenHBand="0" w:firstRowFirstColumn="0" w:firstRowLastColumn="0" w:lastRowFirstColumn="0" w:lastRowLastColumn="0"/>
              <w:rPr>
                <w:color w:val="auto"/>
              </w:rPr>
            </w:pPr>
            <w:r w:rsidRPr="00FD137E">
              <w:rPr>
                <w:color w:val="auto"/>
              </w:rPr>
              <w:t>Ured za udruge Vlade RH</w:t>
            </w:r>
          </w:p>
        </w:tc>
        <w:tc>
          <w:tcPr>
            <w:tcW w:w="2410" w:type="dxa"/>
            <w:noWrap/>
            <w:vAlign w:val="center"/>
            <w:hideMark/>
          </w:tcPr>
          <w:p w14:paraId="08D48130" w14:textId="77777777" w:rsidR="003C2217" w:rsidRPr="00FD137E" w:rsidRDefault="009E4FA3" w:rsidP="001362A5">
            <w:pPr>
              <w:contextualSpacing/>
              <w:jc w:val="center"/>
              <w:cnfStyle w:val="000000100000" w:firstRow="0" w:lastRow="0" w:firstColumn="0" w:lastColumn="0" w:oddVBand="0" w:evenVBand="0" w:oddHBand="1" w:evenHBand="0" w:firstRowFirstColumn="0" w:firstRowLastColumn="0" w:lastRowFirstColumn="0" w:lastRowLastColumn="0"/>
              <w:rPr>
                <w:color w:val="auto"/>
              </w:rPr>
            </w:pPr>
            <w:r w:rsidRPr="00FD137E">
              <w:rPr>
                <w:color w:val="auto"/>
              </w:rPr>
              <w:t>4</w:t>
            </w:r>
          </w:p>
        </w:tc>
        <w:tc>
          <w:tcPr>
            <w:tcW w:w="2693" w:type="dxa"/>
            <w:noWrap/>
            <w:vAlign w:val="center"/>
            <w:hideMark/>
          </w:tcPr>
          <w:p w14:paraId="5B6CCD87" w14:textId="77777777" w:rsidR="003C2217" w:rsidRPr="00FD137E" w:rsidRDefault="009E4FA3" w:rsidP="001362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auto"/>
                <w:lang w:eastAsia="hr-HR"/>
              </w:rPr>
            </w:pPr>
            <w:r w:rsidRPr="00FD137E">
              <w:rPr>
                <w:rFonts w:eastAsia="Times New Roman" w:cs="Times New Roman"/>
                <w:bCs/>
                <w:color w:val="auto"/>
                <w:lang w:eastAsia="hr-HR"/>
              </w:rPr>
              <w:t>26</w:t>
            </w:r>
          </w:p>
        </w:tc>
        <w:tc>
          <w:tcPr>
            <w:tcW w:w="2410" w:type="dxa"/>
            <w:noWrap/>
            <w:vAlign w:val="center"/>
            <w:hideMark/>
          </w:tcPr>
          <w:p w14:paraId="78158BA2" w14:textId="77777777" w:rsidR="003C2217" w:rsidRPr="00FD137E" w:rsidRDefault="009E4FA3" w:rsidP="001362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auto"/>
                <w:lang w:eastAsia="hr-HR"/>
              </w:rPr>
            </w:pPr>
            <w:r w:rsidRPr="00FD137E">
              <w:rPr>
                <w:rFonts w:eastAsia="Times New Roman" w:cs="Times New Roman"/>
                <w:bCs/>
                <w:color w:val="auto"/>
                <w:lang w:eastAsia="hr-HR"/>
              </w:rPr>
              <w:t>54</w:t>
            </w:r>
          </w:p>
        </w:tc>
      </w:tr>
      <w:tr w:rsidR="003C2217" w:rsidRPr="00FD137E" w14:paraId="384B027E" w14:textId="77777777" w:rsidTr="00FD137E">
        <w:trPr>
          <w:trHeight w:val="454"/>
        </w:trPr>
        <w:tc>
          <w:tcPr>
            <w:cnfStyle w:val="001000000000" w:firstRow="0" w:lastRow="0" w:firstColumn="1" w:lastColumn="0" w:oddVBand="0" w:evenVBand="0" w:oddHBand="0" w:evenHBand="0" w:firstRowFirstColumn="0" w:firstRowLastColumn="0" w:lastRowFirstColumn="0" w:lastRowLastColumn="0"/>
            <w:tcW w:w="741" w:type="dxa"/>
            <w:vAlign w:val="center"/>
            <w:hideMark/>
          </w:tcPr>
          <w:p w14:paraId="61DE6499" w14:textId="77777777" w:rsidR="003C2217" w:rsidRPr="00FD137E" w:rsidRDefault="003C2217" w:rsidP="00F01225">
            <w:pPr>
              <w:jc w:val="center"/>
              <w:rPr>
                <w:rFonts w:eastAsia="Times New Roman" w:cs="Times New Roman"/>
                <w:b w:val="0"/>
                <w:color w:val="000000"/>
                <w:lang w:eastAsia="hr-HR"/>
              </w:rPr>
            </w:pPr>
            <w:r w:rsidRPr="00FD137E">
              <w:rPr>
                <w:rFonts w:eastAsia="Times New Roman" w:cs="Times New Roman"/>
                <w:b w:val="0"/>
                <w:color w:val="000000"/>
                <w:lang w:eastAsia="hr-HR"/>
              </w:rPr>
              <w:t>22.</w:t>
            </w:r>
          </w:p>
        </w:tc>
        <w:tc>
          <w:tcPr>
            <w:tcW w:w="5775" w:type="dxa"/>
            <w:vAlign w:val="center"/>
            <w:hideMark/>
          </w:tcPr>
          <w:p w14:paraId="2BC62B02" w14:textId="77777777" w:rsidR="003C2217" w:rsidRPr="00FD137E" w:rsidRDefault="003C2217" w:rsidP="001362A5">
            <w:pPr>
              <w:contextualSpacing/>
              <w:cnfStyle w:val="000000000000" w:firstRow="0" w:lastRow="0" w:firstColumn="0" w:lastColumn="0" w:oddVBand="0" w:evenVBand="0" w:oddHBand="0" w:evenHBand="0" w:firstRowFirstColumn="0" w:firstRowLastColumn="0" w:lastRowFirstColumn="0" w:lastRowLastColumn="0"/>
              <w:rPr>
                <w:color w:val="auto"/>
              </w:rPr>
            </w:pPr>
            <w:r w:rsidRPr="00FD137E">
              <w:rPr>
                <w:color w:val="auto"/>
              </w:rPr>
              <w:t>Ured za suzbijanje zlouporabe droga Vlade RH</w:t>
            </w:r>
          </w:p>
        </w:tc>
        <w:tc>
          <w:tcPr>
            <w:tcW w:w="2410" w:type="dxa"/>
            <w:noWrap/>
            <w:vAlign w:val="center"/>
            <w:hideMark/>
          </w:tcPr>
          <w:p w14:paraId="6C6CB501" w14:textId="77777777" w:rsidR="003C2217" w:rsidRPr="00FD137E" w:rsidRDefault="009E4FA3" w:rsidP="001362A5">
            <w:pPr>
              <w:contextualSpacing/>
              <w:jc w:val="center"/>
              <w:cnfStyle w:val="000000000000" w:firstRow="0" w:lastRow="0" w:firstColumn="0" w:lastColumn="0" w:oddVBand="0" w:evenVBand="0" w:oddHBand="0" w:evenHBand="0" w:firstRowFirstColumn="0" w:firstRowLastColumn="0" w:lastRowFirstColumn="0" w:lastRowLastColumn="0"/>
              <w:rPr>
                <w:color w:val="auto"/>
              </w:rPr>
            </w:pPr>
            <w:r w:rsidRPr="00FD137E">
              <w:rPr>
                <w:color w:val="auto"/>
              </w:rPr>
              <w:t>1</w:t>
            </w:r>
          </w:p>
        </w:tc>
        <w:tc>
          <w:tcPr>
            <w:tcW w:w="2693" w:type="dxa"/>
            <w:noWrap/>
            <w:vAlign w:val="center"/>
            <w:hideMark/>
          </w:tcPr>
          <w:p w14:paraId="2168D9EE" w14:textId="77777777" w:rsidR="003C2217" w:rsidRPr="00FD137E" w:rsidRDefault="009E4FA3" w:rsidP="001362A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1</w:t>
            </w:r>
          </w:p>
        </w:tc>
        <w:tc>
          <w:tcPr>
            <w:tcW w:w="2410" w:type="dxa"/>
            <w:noWrap/>
            <w:vAlign w:val="center"/>
            <w:hideMark/>
          </w:tcPr>
          <w:p w14:paraId="4E7D4EF6" w14:textId="77777777" w:rsidR="003C2217" w:rsidRPr="00FD137E" w:rsidRDefault="009E4FA3" w:rsidP="001362A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1</w:t>
            </w:r>
          </w:p>
        </w:tc>
      </w:tr>
      <w:tr w:rsidR="003C2217" w:rsidRPr="00FD137E" w14:paraId="7DD40C55" w14:textId="77777777" w:rsidTr="00FD137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41" w:type="dxa"/>
            <w:vAlign w:val="center"/>
            <w:hideMark/>
          </w:tcPr>
          <w:p w14:paraId="30AB6E6C" w14:textId="77777777" w:rsidR="003C2217" w:rsidRPr="00FD137E" w:rsidRDefault="003C2217" w:rsidP="00F01225">
            <w:pPr>
              <w:jc w:val="center"/>
              <w:rPr>
                <w:rFonts w:eastAsia="Times New Roman" w:cs="Times New Roman"/>
                <w:b w:val="0"/>
                <w:color w:val="000000"/>
                <w:lang w:eastAsia="hr-HR"/>
              </w:rPr>
            </w:pPr>
            <w:r w:rsidRPr="00FD137E">
              <w:rPr>
                <w:rFonts w:eastAsia="Times New Roman" w:cs="Times New Roman"/>
                <w:b w:val="0"/>
                <w:color w:val="000000"/>
                <w:lang w:eastAsia="hr-HR"/>
              </w:rPr>
              <w:t>23.</w:t>
            </w:r>
          </w:p>
        </w:tc>
        <w:tc>
          <w:tcPr>
            <w:tcW w:w="5775" w:type="dxa"/>
            <w:vAlign w:val="center"/>
            <w:hideMark/>
          </w:tcPr>
          <w:p w14:paraId="3BB7E61F" w14:textId="77777777" w:rsidR="003C2217" w:rsidRPr="00FD137E" w:rsidRDefault="003C2217" w:rsidP="001362A5">
            <w:pPr>
              <w:contextualSpacing/>
              <w:cnfStyle w:val="000000100000" w:firstRow="0" w:lastRow="0" w:firstColumn="0" w:lastColumn="0" w:oddVBand="0" w:evenVBand="0" w:oddHBand="1" w:evenHBand="0" w:firstRowFirstColumn="0" w:firstRowLastColumn="0" w:lastRowFirstColumn="0" w:lastRowLastColumn="0"/>
              <w:rPr>
                <w:color w:val="auto"/>
              </w:rPr>
            </w:pPr>
            <w:r w:rsidRPr="00FD137E">
              <w:rPr>
                <w:color w:val="auto"/>
              </w:rPr>
              <w:t>Ured za zakonodavstvo Vlade RH</w:t>
            </w:r>
          </w:p>
        </w:tc>
        <w:tc>
          <w:tcPr>
            <w:tcW w:w="2410" w:type="dxa"/>
            <w:noWrap/>
            <w:vAlign w:val="center"/>
            <w:hideMark/>
          </w:tcPr>
          <w:p w14:paraId="190418A4" w14:textId="77777777" w:rsidR="003C2217" w:rsidRPr="00FD137E" w:rsidRDefault="009E4FA3" w:rsidP="001362A5">
            <w:pPr>
              <w:contextualSpacing/>
              <w:jc w:val="center"/>
              <w:cnfStyle w:val="000000100000" w:firstRow="0" w:lastRow="0" w:firstColumn="0" w:lastColumn="0" w:oddVBand="0" w:evenVBand="0" w:oddHBand="1" w:evenHBand="0" w:firstRowFirstColumn="0" w:firstRowLastColumn="0" w:lastRowFirstColumn="0" w:lastRowLastColumn="0"/>
              <w:rPr>
                <w:color w:val="auto"/>
              </w:rPr>
            </w:pPr>
            <w:r w:rsidRPr="00FD137E">
              <w:rPr>
                <w:color w:val="auto"/>
              </w:rPr>
              <w:t>1</w:t>
            </w:r>
          </w:p>
        </w:tc>
        <w:tc>
          <w:tcPr>
            <w:tcW w:w="2693" w:type="dxa"/>
            <w:noWrap/>
            <w:vAlign w:val="center"/>
            <w:hideMark/>
          </w:tcPr>
          <w:p w14:paraId="4D321C33" w14:textId="77777777" w:rsidR="003C2217" w:rsidRPr="00FD137E" w:rsidRDefault="009E4FA3" w:rsidP="001362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0</w:t>
            </w:r>
          </w:p>
        </w:tc>
        <w:tc>
          <w:tcPr>
            <w:tcW w:w="2410" w:type="dxa"/>
            <w:noWrap/>
            <w:vAlign w:val="center"/>
            <w:hideMark/>
          </w:tcPr>
          <w:p w14:paraId="1670BB74" w14:textId="77777777" w:rsidR="003C2217" w:rsidRPr="00FD137E" w:rsidRDefault="009E4FA3" w:rsidP="001362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0</w:t>
            </w:r>
          </w:p>
        </w:tc>
      </w:tr>
      <w:tr w:rsidR="003C2217" w:rsidRPr="00FD137E" w14:paraId="135AE2E7" w14:textId="77777777" w:rsidTr="00FD137E">
        <w:trPr>
          <w:trHeight w:val="454"/>
        </w:trPr>
        <w:tc>
          <w:tcPr>
            <w:cnfStyle w:val="001000000000" w:firstRow="0" w:lastRow="0" w:firstColumn="1" w:lastColumn="0" w:oddVBand="0" w:evenVBand="0" w:oddHBand="0" w:evenHBand="0" w:firstRowFirstColumn="0" w:firstRowLastColumn="0" w:lastRowFirstColumn="0" w:lastRowLastColumn="0"/>
            <w:tcW w:w="741" w:type="dxa"/>
            <w:vAlign w:val="center"/>
            <w:hideMark/>
          </w:tcPr>
          <w:p w14:paraId="4AEA05C0" w14:textId="77777777" w:rsidR="003C2217" w:rsidRPr="00FD137E" w:rsidRDefault="003C2217" w:rsidP="00F01225">
            <w:pPr>
              <w:jc w:val="center"/>
              <w:rPr>
                <w:rFonts w:eastAsia="Times New Roman" w:cs="Times New Roman"/>
                <w:b w:val="0"/>
                <w:color w:val="000000"/>
                <w:lang w:eastAsia="hr-HR"/>
              </w:rPr>
            </w:pPr>
            <w:r w:rsidRPr="00FD137E">
              <w:rPr>
                <w:rFonts w:eastAsia="Times New Roman" w:cs="Times New Roman"/>
                <w:b w:val="0"/>
                <w:color w:val="000000"/>
                <w:lang w:eastAsia="hr-HR"/>
              </w:rPr>
              <w:t>24.</w:t>
            </w:r>
          </w:p>
        </w:tc>
        <w:tc>
          <w:tcPr>
            <w:tcW w:w="5775" w:type="dxa"/>
            <w:vAlign w:val="center"/>
            <w:hideMark/>
          </w:tcPr>
          <w:p w14:paraId="0EEB6DBF" w14:textId="77777777" w:rsidR="003C2217" w:rsidRPr="00FD137E" w:rsidRDefault="003C2217" w:rsidP="001362A5">
            <w:pPr>
              <w:contextualSpacing/>
              <w:cnfStyle w:val="000000000000" w:firstRow="0" w:lastRow="0" w:firstColumn="0" w:lastColumn="0" w:oddVBand="0" w:evenVBand="0" w:oddHBand="0" w:evenHBand="0" w:firstRowFirstColumn="0" w:firstRowLastColumn="0" w:lastRowFirstColumn="0" w:lastRowLastColumn="0"/>
              <w:rPr>
                <w:color w:val="auto"/>
              </w:rPr>
            </w:pPr>
            <w:r w:rsidRPr="00FD137E">
              <w:rPr>
                <w:color w:val="auto"/>
              </w:rPr>
              <w:t>Ured za ljudska prava i prava nacionalnih manjina Vlade RH</w:t>
            </w:r>
          </w:p>
        </w:tc>
        <w:tc>
          <w:tcPr>
            <w:tcW w:w="2410" w:type="dxa"/>
            <w:noWrap/>
            <w:vAlign w:val="center"/>
            <w:hideMark/>
          </w:tcPr>
          <w:p w14:paraId="78DDE770" w14:textId="77777777" w:rsidR="003C2217" w:rsidRPr="00FD137E" w:rsidRDefault="0029058F" w:rsidP="001362A5">
            <w:pPr>
              <w:contextualSpacing/>
              <w:jc w:val="center"/>
              <w:cnfStyle w:val="000000000000" w:firstRow="0" w:lastRow="0" w:firstColumn="0" w:lastColumn="0" w:oddVBand="0" w:evenVBand="0" w:oddHBand="0" w:evenHBand="0" w:firstRowFirstColumn="0" w:firstRowLastColumn="0" w:lastRowFirstColumn="0" w:lastRowLastColumn="0"/>
              <w:rPr>
                <w:color w:val="auto"/>
              </w:rPr>
            </w:pPr>
            <w:r w:rsidRPr="00FD137E">
              <w:rPr>
                <w:color w:val="auto"/>
              </w:rPr>
              <w:t>1</w:t>
            </w:r>
          </w:p>
        </w:tc>
        <w:tc>
          <w:tcPr>
            <w:tcW w:w="2693" w:type="dxa"/>
            <w:noWrap/>
            <w:vAlign w:val="center"/>
            <w:hideMark/>
          </w:tcPr>
          <w:p w14:paraId="7404B696" w14:textId="77777777" w:rsidR="003C2217" w:rsidRPr="00FD137E" w:rsidRDefault="0029058F" w:rsidP="001362A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0</w:t>
            </w:r>
          </w:p>
        </w:tc>
        <w:tc>
          <w:tcPr>
            <w:tcW w:w="2410" w:type="dxa"/>
            <w:noWrap/>
            <w:vAlign w:val="center"/>
            <w:hideMark/>
          </w:tcPr>
          <w:p w14:paraId="73DD7EEB" w14:textId="77777777" w:rsidR="003C2217" w:rsidRPr="00FD137E" w:rsidRDefault="0029058F" w:rsidP="001362A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0</w:t>
            </w:r>
          </w:p>
        </w:tc>
      </w:tr>
      <w:tr w:rsidR="003C2217" w:rsidRPr="00FD137E" w14:paraId="6CEDB169" w14:textId="77777777" w:rsidTr="00FD137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41" w:type="dxa"/>
            <w:vAlign w:val="center"/>
          </w:tcPr>
          <w:p w14:paraId="20BF7031" w14:textId="77777777" w:rsidR="003C2217" w:rsidRPr="00FD137E" w:rsidRDefault="003C2217" w:rsidP="00F01225">
            <w:pPr>
              <w:jc w:val="center"/>
              <w:rPr>
                <w:rFonts w:eastAsia="Times New Roman" w:cs="Times New Roman"/>
                <w:b w:val="0"/>
                <w:color w:val="000000"/>
                <w:lang w:eastAsia="hr-HR"/>
              </w:rPr>
            </w:pPr>
            <w:r w:rsidRPr="00FD137E">
              <w:rPr>
                <w:rFonts w:eastAsia="Times New Roman" w:cs="Times New Roman"/>
                <w:b w:val="0"/>
                <w:color w:val="000000"/>
                <w:lang w:eastAsia="hr-HR"/>
              </w:rPr>
              <w:t>25.</w:t>
            </w:r>
          </w:p>
        </w:tc>
        <w:tc>
          <w:tcPr>
            <w:tcW w:w="5775" w:type="dxa"/>
            <w:vAlign w:val="center"/>
          </w:tcPr>
          <w:p w14:paraId="6B3FCB16" w14:textId="77777777" w:rsidR="003C2217" w:rsidRPr="00FD137E" w:rsidRDefault="003C2217" w:rsidP="0036575F">
            <w:pPr>
              <w:contextualSpacing/>
              <w:cnfStyle w:val="000000100000" w:firstRow="0" w:lastRow="0" w:firstColumn="0" w:lastColumn="0" w:oddVBand="0" w:evenVBand="0" w:oddHBand="1" w:evenHBand="0" w:firstRowFirstColumn="0" w:firstRowLastColumn="0" w:lastRowFirstColumn="0" w:lastRowLastColumn="0"/>
              <w:rPr>
                <w:color w:val="auto"/>
              </w:rPr>
            </w:pPr>
            <w:r w:rsidRPr="00FD137E">
              <w:rPr>
                <w:color w:val="auto"/>
              </w:rPr>
              <w:t xml:space="preserve">Ured </w:t>
            </w:r>
            <w:r w:rsidR="0036575F" w:rsidRPr="00FD137E">
              <w:rPr>
                <w:color w:val="auto"/>
              </w:rPr>
              <w:t>Vijeća za nacionalnu sigurnost</w:t>
            </w:r>
          </w:p>
        </w:tc>
        <w:tc>
          <w:tcPr>
            <w:tcW w:w="2410" w:type="dxa"/>
            <w:noWrap/>
            <w:vAlign w:val="center"/>
          </w:tcPr>
          <w:p w14:paraId="095EE92E" w14:textId="77777777" w:rsidR="003C2217" w:rsidRPr="00FD137E" w:rsidRDefault="0036575F" w:rsidP="001362A5">
            <w:pPr>
              <w:contextualSpacing/>
              <w:jc w:val="center"/>
              <w:cnfStyle w:val="000000100000" w:firstRow="0" w:lastRow="0" w:firstColumn="0" w:lastColumn="0" w:oddVBand="0" w:evenVBand="0" w:oddHBand="1" w:evenHBand="0" w:firstRowFirstColumn="0" w:firstRowLastColumn="0" w:lastRowFirstColumn="0" w:lastRowLastColumn="0"/>
              <w:rPr>
                <w:color w:val="auto"/>
              </w:rPr>
            </w:pPr>
            <w:r w:rsidRPr="00FD137E">
              <w:rPr>
                <w:color w:val="auto"/>
              </w:rPr>
              <w:t>2</w:t>
            </w:r>
          </w:p>
        </w:tc>
        <w:tc>
          <w:tcPr>
            <w:tcW w:w="2693" w:type="dxa"/>
            <w:noWrap/>
            <w:vAlign w:val="center"/>
          </w:tcPr>
          <w:p w14:paraId="192449A1" w14:textId="77777777" w:rsidR="003C2217" w:rsidRPr="00FD137E" w:rsidRDefault="003C2217" w:rsidP="001362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auto"/>
                <w:lang w:eastAsia="hr-HR"/>
              </w:rPr>
            </w:pPr>
            <w:r w:rsidRPr="00FD137E">
              <w:rPr>
                <w:rFonts w:eastAsia="Times New Roman" w:cs="Times New Roman"/>
                <w:bCs/>
                <w:color w:val="auto"/>
                <w:lang w:eastAsia="hr-HR"/>
              </w:rPr>
              <w:t>2</w:t>
            </w:r>
          </w:p>
        </w:tc>
        <w:tc>
          <w:tcPr>
            <w:tcW w:w="2410" w:type="dxa"/>
            <w:noWrap/>
            <w:vAlign w:val="center"/>
          </w:tcPr>
          <w:p w14:paraId="202956A5" w14:textId="77777777" w:rsidR="003C2217" w:rsidRPr="00FD137E" w:rsidRDefault="00294317" w:rsidP="001362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auto"/>
                <w:lang w:eastAsia="hr-HR"/>
              </w:rPr>
            </w:pPr>
            <w:r w:rsidRPr="00FD137E">
              <w:rPr>
                <w:rFonts w:eastAsia="Times New Roman" w:cs="Times New Roman"/>
                <w:bCs/>
                <w:color w:val="auto"/>
                <w:lang w:eastAsia="hr-HR"/>
              </w:rPr>
              <w:t>1</w:t>
            </w:r>
            <w:r w:rsidR="003C2217" w:rsidRPr="00FD137E">
              <w:rPr>
                <w:rFonts w:eastAsia="Times New Roman" w:cs="Times New Roman"/>
                <w:bCs/>
                <w:color w:val="auto"/>
                <w:lang w:eastAsia="hr-HR"/>
              </w:rPr>
              <w:t>6</w:t>
            </w:r>
          </w:p>
        </w:tc>
      </w:tr>
      <w:tr w:rsidR="003C2217" w:rsidRPr="00FD137E" w14:paraId="43F680BC" w14:textId="77777777" w:rsidTr="00FD137E">
        <w:trPr>
          <w:trHeight w:val="454"/>
        </w:trPr>
        <w:tc>
          <w:tcPr>
            <w:cnfStyle w:val="001000000000" w:firstRow="0" w:lastRow="0" w:firstColumn="1" w:lastColumn="0" w:oddVBand="0" w:evenVBand="0" w:oddHBand="0" w:evenHBand="0" w:firstRowFirstColumn="0" w:firstRowLastColumn="0" w:lastRowFirstColumn="0" w:lastRowLastColumn="0"/>
            <w:tcW w:w="741" w:type="dxa"/>
            <w:vAlign w:val="center"/>
            <w:hideMark/>
          </w:tcPr>
          <w:p w14:paraId="75BBEF32" w14:textId="77777777" w:rsidR="003C2217" w:rsidRPr="00FD137E" w:rsidRDefault="003C2217" w:rsidP="00F01225">
            <w:pPr>
              <w:jc w:val="center"/>
              <w:rPr>
                <w:rFonts w:eastAsia="Times New Roman" w:cs="Times New Roman"/>
                <w:b w:val="0"/>
                <w:color w:val="000000"/>
                <w:lang w:eastAsia="hr-HR"/>
              </w:rPr>
            </w:pPr>
            <w:r w:rsidRPr="00FD137E">
              <w:rPr>
                <w:rFonts w:eastAsia="Times New Roman" w:cs="Times New Roman"/>
                <w:b w:val="0"/>
                <w:color w:val="000000"/>
                <w:lang w:eastAsia="hr-HR"/>
              </w:rPr>
              <w:t>26.</w:t>
            </w:r>
          </w:p>
        </w:tc>
        <w:tc>
          <w:tcPr>
            <w:tcW w:w="5775" w:type="dxa"/>
            <w:vAlign w:val="center"/>
            <w:hideMark/>
          </w:tcPr>
          <w:p w14:paraId="45D43A4A" w14:textId="77777777" w:rsidR="003C2217" w:rsidRPr="00FD137E" w:rsidRDefault="00294317" w:rsidP="001362A5">
            <w:pPr>
              <w:contextualSpacing/>
              <w:cnfStyle w:val="000000000000" w:firstRow="0" w:lastRow="0" w:firstColumn="0" w:lastColumn="0" w:oddVBand="0" w:evenVBand="0" w:oddHBand="0" w:evenHBand="0" w:firstRowFirstColumn="0" w:firstRowLastColumn="0" w:lastRowFirstColumn="0" w:lastRowLastColumn="0"/>
              <w:rPr>
                <w:color w:val="auto"/>
              </w:rPr>
            </w:pPr>
            <w:r w:rsidRPr="00FD137E">
              <w:rPr>
                <w:color w:val="auto"/>
              </w:rPr>
              <w:t>Ured za ravnopravnost spolova Vlade Republike Hrvatske</w:t>
            </w:r>
          </w:p>
        </w:tc>
        <w:tc>
          <w:tcPr>
            <w:tcW w:w="2410" w:type="dxa"/>
            <w:noWrap/>
            <w:vAlign w:val="center"/>
            <w:hideMark/>
          </w:tcPr>
          <w:p w14:paraId="79CCFCB9" w14:textId="77777777" w:rsidR="003C2217" w:rsidRPr="00FD137E" w:rsidRDefault="00294317" w:rsidP="001362A5">
            <w:pPr>
              <w:contextualSpacing/>
              <w:jc w:val="center"/>
              <w:cnfStyle w:val="000000000000" w:firstRow="0" w:lastRow="0" w:firstColumn="0" w:lastColumn="0" w:oddVBand="0" w:evenVBand="0" w:oddHBand="0" w:evenHBand="0" w:firstRowFirstColumn="0" w:firstRowLastColumn="0" w:lastRowFirstColumn="0" w:lastRowLastColumn="0"/>
              <w:rPr>
                <w:color w:val="auto"/>
              </w:rPr>
            </w:pPr>
            <w:r w:rsidRPr="00FD137E">
              <w:rPr>
                <w:color w:val="auto"/>
              </w:rPr>
              <w:t>1</w:t>
            </w:r>
          </w:p>
        </w:tc>
        <w:tc>
          <w:tcPr>
            <w:tcW w:w="2693" w:type="dxa"/>
            <w:noWrap/>
            <w:vAlign w:val="center"/>
            <w:hideMark/>
          </w:tcPr>
          <w:p w14:paraId="48084F3A" w14:textId="77777777" w:rsidR="003C2217" w:rsidRPr="00FD137E" w:rsidRDefault="00294317" w:rsidP="001362A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4</w:t>
            </w:r>
          </w:p>
        </w:tc>
        <w:tc>
          <w:tcPr>
            <w:tcW w:w="2410" w:type="dxa"/>
            <w:noWrap/>
            <w:vAlign w:val="center"/>
            <w:hideMark/>
          </w:tcPr>
          <w:p w14:paraId="01D42E07" w14:textId="77777777" w:rsidR="003C2217" w:rsidRPr="00FD137E" w:rsidRDefault="00294317" w:rsidP="001362A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12</w:t>
            </w:r>
          </w:p>
        </w:tc>
      </w:tr>
      <w:tr w:rsidR="003C2217" w:rsidRPr="00FD137E" w14:paraId="0EDB3B1B" w14:textId="77777777" w:rsidTr="00FD137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41" w:type="dxa"/>
            <w:vAlign w:val="center"/>
          </w:tcPr>
          <w:p w14:paraId="62B57CFF" w14:textId="77777777" w:rsidR="003C2217" w:rsidRPr="00FD137E" w:rsidRDefault="003C2217" w:rsidP="00F01225">
            <w:pPr>
              <w:jc w:val="center"/>
              <w:rPr>
                <w:rFonts w:eastAsia="Times New Roman" w:cs="Times New Roman"/>
                <w:b w:val="0"/>
                <w:color w:val="000000"/>
                <w:lang w:eastAsia="hr-HR"/>
              </w:rPr>
            </w:pPr>
            <w:r w:rsidRPr="00FD137E">
              <w:rPr>
                <w:rFonts w:eastAsia="Times New Roman" w:cs="Times New Roman"/>
                <w:b w:val="0"/>
                <w:color w:val="000000"/>
                <w:lang w:eastAsia="hr-HR"/>
              </w:rPr>
              <w:t>27.</w:t>
            </w:r>
          </w:p>
        </w:tc>
        <w:tc>
          <w:tcPr>
            <w:tcW w:w="5775" w:type="dxa"/>
            <w:vAlign w:val="center"/>
          </w:tcPr>
          <w:p w14:paraId="6789252A" w14:textId="77777777" w:rsidR="003C2217" w:rsidRPr="00FD137E" w:rsidRDefault="003C2217" w:rsidP="00294317">
            <w:pPr>
              <w:contextualSpacing/>
              <w:cnfStyle w:val="000000100000" w:firstRow="0" w:lastRow="0" w:firstColumn="0" w:lastColumn="0" w:oddVBand="0" w:evenVBand="0" w:oddHBand="1" w:evenHBand="0" w:firstRowFirstColumn="0" w:firstRowLastColumn="0" w:lastRowFirstColumn="0" w:lastRowLastColumn="0"/>
              <w:rPr>
                <w:color w:val="auto"/>
              </w:rPr>
            </w:pPr>
            <w:r w:rsidRPr="00FD137E">
              <w:rPr>
                <w:color w:val="auto"/>
              </w:rPr>
              <w:t xml:space="preserve">Središnji državni ured za </w:t>
            </w:r>
            <w:r w:rsidR="00294317" w:rsidRPr="00FD137E">
              <w:rPr>
                <w:color w:val="auto"/>
              </w:rPr>
              <w:t>obnovu i stambeno zbrinjavanje</w:t>
            </w:r>
          </w:p>
        </w:tc>
        <w:tc>
          <w:tcPr>
            <w:tcW w:w="2410" w:type="dxa"/>
            <w:noWrap/>
            <w:vAlign w:val="center"/>
          </w:tcPr>
          <w:p w14:paraId="1363B6FE" w14:textId="77777777" w:rsidR="003C2217" w:rsidRPr="00FD137E" w:rsidRDefault="003C2217" w:rsidP="001362A5">
            <w:pPr>
              <w:contextualSpacing/>
              <w:jc w:val="center"/>
              <w:cnfStyle w:val="000000100000" w:firstRow="0" w:lastRow="0" w:firstColumn="0" w:lastColumn="0" w:oddVBand="0" w:evenVBand="0" w:oddHBand="1" w:evenHBand="0" w:firstRowFirstColumn="0" w:firstRowLastColumn="0" w:lastRowFirstColumn="0" w:lastRowLastColumn="0"/>
            </w:pPr>
            <w:r w:rsidRPr="00FD137E">
              <w:rPr>
                <w:color w:val="auto"/>
              </w:rPr>
              <w:t>1</w:t>
            </w:r>
          </w:p>
        </w:tc>
        <w:tc>
          <w:tcPr>
            <w:tcW w:w="2693" w:type="dxa"/>
            <w:noWrap/>
            <w:vAlign w:val="center"/>
          </w:tcPr>
          <w:p w14:paraId="736FF5FA" w14:textId="77777777" w:rsidR="003C2217" w:rsidRPr="00FD137E" w:rsidRDefault="00294317" w:rsidP="001362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4</w:t>
            </w:r>
          </w:p>
        </w:tc>
        <w:tc>
          <w:tcPr>
            <w:tcW w:w="2410" w:type="dxa"/>
            <w:noWrap/>
            <w:vAlign w:val="center"/>
          </w:tcPr>
          <w:p w14:paraId="293C7181" w14:textId="77777777" w:rsidR="003C2217" w:rsidRPr="00FD137E" w:rsidRDefault="00294317" w:rsidP="001362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38</w:t>
            </w:r>
          </w:p>
        </w:tc>
      </w:tr>
      <w:tr w:rsidR="003C2217" w:rsidRPr="00FD137E" w14:paraId="5B9EFB88" w14:textId="77777777" w:rsidTr="00FD137E">
        <w:trPr>
          <w:trHeight w:val="454"/>
        </w:trPr>
        <w:tc>
          <w:tcPr>
            <w:cnfStyle w:val="001000000000" w:firstRow="0" w:lastRow="0" w:firstColumn="1" w:lastColumn="0" w:oddVBand="0" w:evenVBand="0" w:oddHBand="0" w:evenHBand="0" w:firstRowFirstColumn="0" w:firstRowLastColumn="0" w:lastRowFirstColumn="0" w:lastRowLastColumn="0"/>
            <w:tcW w:w="741" w:type="dxa"/>
            <w:vAlign w:val="center"/>
          </w:tcPr>
          <w:p w14:paraId="0B773B1A" w14:textId="7969D10A" w:rsidR="003C2217" w:rsidRPr="00FD137E" w:rsidRDefault="003C2217" w:rsidP="00F01225">
            <w:pPr>
              <w:jc w:val="center"/>
              <w:rPr>
                <w:rFonts w:eastAsia="Times New Roman" w:cs="Times New Roman"/>
                <w:b w:val="0"/>
                <w:color w:val="000000"/>
                <w:lang w:eastAsia="hr-HR"/>
              </w:rPr>
            </w:pPr>
            <w:r w:rsidRPr="00FD137E">
              <w:rPr>
                <w:rFonts w:eastAsia="Times New Roman" w:cs="Times New Roman"/>
                <w:b w:val="0"/>
                <w:color w:val="000000"/>
                <w:lang w:eastAsia="hr-HR"/>
              </w:rPr>
              <w:t>28.</w:t>
            </w:r>
          </w:p>
        </w:tc>
        <w:tc>
          <w:tcPr>
            <w:tcW w:w="5775" w:type="dxa"/>
            <w:vAlign w:val="center"/>
          </w:tcPr>
          <w:p w14:paraId="78230213" w14:textId="77777777" w:rsidR="003C2217" w:rsidRPr="00FD137E" w:rsidRDefault="00470A89" w:rsidP="001362A5">
            <w:pPr>
              <w:contextualSpacing/>
              <w:cnfStyle w:val="000000000000" w:firstRow="0" w:lastRow="0" w:firstColumn="0" w:lastColumn="0" w:oddVBand="0" w:evenVBand="0" w:oddHBand="0" w:evenHBand="0" w:firstRowFirstColumn="0" w:firstRowLastColumn="0" w:lastRowFirstColumn="0" w:lastRowLastColumn="0"/>
              <w:rPr>
                <w:color w:val="auto"/>
              </w:rPr>
            </w:pPr>
            <w:r w:rsidRPr="00FD137E">
              <w:rPr>
                <w:color w:val="auto"/>
              </w:rPr>
              <w:t>Hrvatski audiovizualni centar</w:t>
            </w:r>
          </w:p>
        </w:tc>
        <w:tc>
          <w:tcPr>
            <w:tcW w:w="2410" w:type="dxa"/>
            <w:noWrap/>
            <w:vAlign w:val="center"/>
          </w:tcPr>
          <w:p w14:paraId="7213847E" w14:textId="77777777" w:rsidR="003C2217" w:rsidRPr="00FD137E" w:rsidRDefault="00ED4C46" w:rsidP="001362A5">
            <w:pPr>
              <w:contextualSpacing/>
              <w:jc w:val="center"/>
              <w:cnfStyle w:val="000000000000" w:firstRow="0" w:lastRow="0" w:firstColumn="0" w:lastColumn="0" w:oddVBand="0" w:evenVBand="0" w:oddHBand="0" w:evenHBand="0" w:firstRowFirstColumn="0" w:firstRowLastColumn="0" w:lastRowFirstColumn="0" w:lastRowLastColumn="0"/>
            </w:pPr>
            <w:r w:rsidRPr="00FD137E">
              <w:rPr>
                <w:color w:val="auto"/>
              </w:rPr>
              <w:t>1</w:t>
            </w:r>
          </w:p>
        </w:tc>
        <w:tc>
          <w:tcPr>
            <w:tcW w:w="2693" w:type="dxa"/>
            <w:noWrap/>
            <w:vAlign w:val="center"/>
          </w:tcPr>
          <w:p w14:paraId="71CEBDB2" w14:textId="77777777" w:rsidR="003C2217" w:rsidRPr="00FD137E" w:rsidRDefault="00ED4C46" w:rsidP="001362A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5</w:t>
            </w:r>
          </w:p>
        </w:tc>
        <w:tc>
          <w:tcPr>
            <w:tcW w:w="2410" w:type="dxa"/>
            <w:noWrap/>
            <w:vAlign w:val="center"/>
          </w:tcPr>
          <w:p w14:paraId="23505379" w14:textId="77777777" w:rsidR="003C2217" w:rsidRPr="00FD137E" w:rsidRDefault="00ED4C46" w:rsidP="001362A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28</w:t>
            </w:r>
          </w:p>
        </w:tc>
      </w:tr>
      <w:tr w:rsidR="003C2217" w:rsidRPr="00FD137E" w14:paraId="11BB7733" w14:textId="77777777" w:rsidTr="00FD137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41" w:type="dxa"/>
            <w:vAlign w:val="center"/>
          </w:tcPr>
          <w:p w14:paraId="7D24818B" w14:textId="6B855EF9" w:rsidR="003C2217" w:rsidRPr="00FD137E" w:rsidRDefault="003C2217" w:rsidP="00F01225">
            <w:pPr>
              <w:jc w:val="center"/>
              <w:rPr>
                <w:rFonts w:eastAsia="Times New Roman" w:cs="Times New Roman"/>
                <w:b w:val="0"/>
                <w:color w:val="000000"/>
                <w:lang w:eastAsia="hr-HR"/>
              </w:rPr>
            </w:pPr>
            <w:r w:rsidRPr="00FD137E">
              <w:rPr>
                <w:rFonts w:eastAsia="Times New Roman" w:cs="Times New Roman"/>
                <w:b w:val="0"/>
                <w:color w:val="000000"/>
                <w:lang w:eastAsia="hr-HR"/>
              </w:rPr>
              <w:t>29.</w:t>
            </w:r>
          </w:p>
        </w:tc>
        <w:tc>
          <w:tcPr>
            <w:tcW w:w="5775" w:type="dxa"/>
            <w:vAlign w:val="center"/>
          </w:tcPr>
          <w:p w14:paraId="7C8ABC56" w14:textId="77777777" w:rsidR="003C2217" w:rsidRPr="00FD137E" w:rsidRDefault="003C2217" w:rsidP="00ED4C46">
            <w:pPr>
              <w:contextualSpacing/>
              <w:cnfStyle w:val="000000100000" w:firstRow="0" w:lastRow="0" w:firstColumn="0" w:lastColumn="0" w:oddVBand="0" w:evenVBand="0" w:oddHBand="1" w:evenHBand="0" w:firstRowFirstColumn="0" w:firstRowLastColumn="0" w:lastRowFirstColumn="0" w:lastRowLastColumn="0"/>
              <w:rPr>
                <w:color w:val="auto"/>
              </w:rPr>
            </w:pPr>
            <w:r w:rsidRPr="00FD137E">
              <w:rPr>
                <w:color w:val="auto"/>
              </w:rPr>
              <w:t xml:space="preserve">Središnji državni ured za </w:t>
            </w:r>
            <w:r w:rsidR="00ED4C46" w:rsidRPr="00FD137E">
              <w:rPr>
                <w:color w:val="auto"/>
              </w:rPr>
              <w:t>šport</w:t>
            </w:r>
          </w:p>
        </w:tc>
        <w:tc>
          <w:tcPr>
            <w:tcW w:w="2410" w:type="dxa"/>
            <w:noWrap/>
            <w:vAlign w:val="center"/>
          </w:tcPr>
          <w:p w14:paraId="71681F68" w14:textId="77777777" w:rsidR="003C2217" w:rsidRPr="00FD137E" w:rsidRDefault="00ED4C46" w:rsidP="001362A5">
            <w:pPr>
              <w:contextualSpacing/>
              <w:jc w:val="center"/>
              <w:cnfStyle w:val="000000100000" w:firstRow="0" w:lastRow="0" w:firstColumn="0" w:lastColumn="0" w:oddVBand="0" w:evenVBand="0" w:oddHBand="1" w:evenHBand="0" w:firstRowFirstColumn="0" w:firstRowLastColumn="0" w:lastRowFirstColumn="0" w:lastRowLastColumn="0"/>
              <w:rPr>
                <w:color w:val="auto"/>
              </w:rPr>
            </w:pPr>
            <w:r w:rsidRPr="00FD137E">
              <w:rPr>
                <w:color w:val="auto"/>
              </w:rPr>
              <w:t>3</w:t>
            </w:r>
          </w:p>
        </w:tc>
        <w:tc>
          <w:tcPr>
            <w:tcW w:w="2693" w:type="dxa"/>
            <w:noWrap/>
            <w:vAlign w:val="center"/>
          </w:tcPr>
          <w:p w14:paraId="4289D5D6" w14:textId="77777777" w:rsidR="003C2217" w:rsidRPr="00FD137E" w:rsidRDefault="00ED4C46" w:rsidP="001362A5">
            <w:pPr>
              <w:tabs>
                <w:tab w:val="left" w:pos="1155"/>
                <w:tab w:val="center" w:pos="1238"/>
              </w:tabs>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auto"/>
                <w:lang w:eastAsia="hr-HR"/>
              </w:rPr>
            </w:pPr>
            <w:r w:rsidRPr="00FD137E">
              <w:rPr>
                <w:rFonts w:eastAsia="Times New Roman" w:cs="Times New Roman"/>
                <w:bCs/>
                <w:color w:val="auto"/>
                <w:lang w:eastAsia="hr-HR"/>
              </w:rPr>
              <w:t>6</w:t>
            </w:r>
          </w:p>
        </w:tc>
        <w:tc>
          <w:tcPr>
            <w:tcW w:w="2410" w:type="dxa"/>
            <w:noWrap/>
            <w:vAlign w:val="center"/>
          </w:tcPr>
          <w:p w14:paraId="3CDD52BA" w14:textId="77777777" w:rsidR="003C2217" w:rsidRPr="00FD137E" w:rsidRDefault="00ED4C46" w:rsidP="001362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auto"/>
                <w:lang w:eastAsia="hr-HR"/>
              </w:rPr>
            </w:pPr>
            <w:r w:rsidRPr="00FD137E">
              <w:rPr>
                <w:rFonts w:eastAsia="Times New Roman" w:cs="Times New Roman"/>
                <w:bCs/>
                <w:color w:val="auto"/>
                <w:lang w:eastAsia="hr-HR"/>
              </w:rPr>
              <w:t>11</w:t>
            </w:r>
          </w:p>
        </w:tc>
      </w:tr>
      <w:tr w:rsidR="003C2217" w:rsidRPr="00FD137E" w14:paraId="553ED452" w14:textId="77777777" w:rsidTr="00FD137E">
        <w:trPr>
          <w:trHeight w:val="454"/>
        </w:trPr>
        <w:tc>
          <w:tcPr>
            <w:cnfStyle w:val="001000000000" w:firstRow="0" w:lastRow="0" w:firstColumn="1" w:lastColumn="0" w:oddVBand="0" w:evenVBand="0" w:oddHBand="0" w:evenHBand="0" w:firstRowFirstColumn="0" w:firstRowLastColumn="0" w:lastRowFirstColumn="0" w:lastRowLastColumn="0"/>
            <w:tcW w:w="741" w:type="dxa"/>
            <w:vAlign w:val="center"/>
            <w:hideMark/>
          </w:tcPr>
          <w:p w14:paraId="5FD899E5" w14:textId="77777777" w:rsidR="003C2217" w:rsidRPr="00FD137E" w:rsidRDefault="003C2217" w:rsidP="00F01225">
            <w:pPr>
              <w:jc w:val="center"/>
              <w:rPr>
                <w:rFonts w:eastAsia="Times New Roman" w:cs="Times New Roman"/>
                <w:b w:val="0"/>
                <w:color w:val="000000"/>
                <w:lang w:eastAsia="hr-HR"/>
              </w:rPr>
            </w:pPr>
            <w:r w:rsidRPr="00FD137E">
              <w:rPr>
                <w:rFonts w:eastAsia="Times New Roman" w:cs="Times New Roman"/>
                <w:b w:val="0"/>
                <w:color w:val="000000"/>
                <w:lang w:eastAsia="hr-HR"/>
              </w:rPr>
              <w:t>30.</w:t>
            </w:r>
          </w:p>
        </w:tc>
        <w:tc>
          <w:tcPr>
            <w:tcW w:w="5775" w:type="dxa"/>
            <w:vAlign w:val="center"/>
            <w:hideMark/>
          </w:tcPr>
          <w:p w14:paraId="1394D324" w14:textId="77777777" w:rsidR="003C2217" w:rsidRPr="00FD137E" w:rsidRDefault="00ED4C46" w:rsidP="001362A5">
            <w:pPr>
              <w:contextualSpacing/>
              <w:cnfStyle w:val="000000000000" w:firstRow="0" w:lastRow="0" w:firstColumn="0" w:lastColumn="0" w:oddVBand="0" w:evenVBand="0" w:oddHBand="0" w:evenHBand="0" w:firstRowFirstColumn="0" w:firstRowLastColumn="0" w:lastRowFirstColumn="0" w:lastRowLastColumn="0"/>
              <w:rPr>
                <w:color w:val="auto"/>
              </w:rPr>
            </w:pPr>
            <w:r w:rsidRPr="00FD137E">
              <w:rPr>
                <w:color w:val="auto"/>
              </w:rPr>
              <w:t>Središnji državni ured za Hrvate izvan Republike Hrvatske</w:t>
            </w:r>
          </w:p>
        </w:tc>
        <w:tc>
          <w:tcPr>
            <w:tcW w:w="2410" w:type="dxa"/>
            <w:noWrap/>
            <w:vAlign w:val="center"/>
            <w:hideMark/>
          </w:tcPr>
          <w:p w14:paraId="4F74C399" w14:textId="77777777" w:rsidR="003C2217" w:rsidRPr="00FD137E" w:rsidRDefault="00ED4C46" w:rsidP="001362A5">
            <w:pPr>
              <w:contextualSpacing/>
              <w:jc w:val="center"/>
              <w:cnfStyle w:val="000000000000" w:firstRow="0" w:lastRow="0" w:firstColumn="0" w:lastColumn="0" w:oddVBand="0" w:evenVBand="0" w:oddHBand="0" w:evenHBand="0" w:firstRowFirstColumn="0" w:firstRowLastColumn="0" w:lastRowFirstColumn="0" w:lastRowLastColumn="0"/>
              <w:rPr>
                <w:color w:val="auto"/>
              </w:rPr>
            </w:pPr>
            <w:r w:rsidRPr="00FD137E">
              <w:rPr>
                <w:color w:val="auto"/>
              </w:rPr>
              <w:t>4</w:t>
            </w:r>
          </w:p>
        </w:tc>
        <w:tc>
          <w:tcPr>
            <w:tcW w:w="2693" w:type="dxa"/>
            <w:noWrap/>
            <w:vAlign w:val="center"/>
            <w:hideMark/>
          </w:tcPr>
          <w:p w14:paraId="4D80B546" w14:textId="77777777" w:rsidR="003C2217" w:rsidRPr="00FD137E" w:rsidRDefault="003C2217" w:rsidP="001362A5">
            <w:pPr>
              <w:tabs>
                <w:tab w:val="left" w:pos="1155"/>
                <w:tab w:val="center" w:pos="1238"/>
              </w:tabs>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ab/>
              <w:t>4</w:t>
            </w:r>
          </w:p>
        </w:tc>
        <w:tc>
          <w:tcPr>
            <w:tcW w:w="2410" w:type="dxa"/>
            <w:noWrap/>
            <w:vAlign w:val="center"/>
            <w:hideMark/>
          </w:tcPr>
          <w:p w14:paraId="5DB71F76" w14:textId="77777777" w:rsidR="003C2217" w:rsidRPr="00FD137E" w:rsidRDefault="00ED4C46" w:rsidP="001362A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4</w:t>
            </w:r>
          </w:p>
        </w:tc>
      </w:tr>
      <w:tr w:rsidR="003C2217" w:rsidRPr="00FD137E" w14:paraId="5FD90E6C" w14:textId="77777777" w:rsidTr="00FD137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41" w:type="dxa"/>
            <w:vAlign w:val="center"/>
            <w:hideMark/>
          </w:tcPr>
          <w:p w14:paraId="6664418D" w14:textId="77777777" w:rsidR="003C2217" w:rsidRPr="00FD137E" w:rsidRDefault="003C2217" w:rsidP="00F01225">
            <w:pPr>
              <w:jc w:val="center"/>
              <w:rPr>
                <w:rFonts w:eastAsia="Times New Roman" w:cs="Times New Roman"/>
                <w:b w:val="0"/>
                <w:color w:val="000000"/>
                <w:lang w:eastAsia="hr-HR"/>
              </w:rPr>
            </w:pPr>
            <w:r w:rsidRPr="00FD137E">
              <w:rPr>
                <w:rFonts w:eastAsia="Times New Roman" w:cs="Times New Roman"/>
                <w:b w:val="0"/>
                <w:color w:val="000000"/>
                <w:lang w:eastAsia="hr-HR"/>
              </w:rPr>
              <w:t>31.</w:t>
            </w:r>
          </w:p>
        </w:tc>
        <w:tc>
          <w:tcPr>
            <w:tcW w:w="5775" w:type="dxa"/>
            <w:vAlign w:val="center"/>
            <w:hideMark/>
          </w:tcPr>
          <w:p w14:paraId="2F33B06A" w14:textId="77777777" w:rsidR="003C2217" w:rsidRPr="00FD137E" w:rsidRDefault="00ED4C46" w:rsidP="001362A5">
            <w:pPr>
              <w:contextualSpacing/>
              <w:cnfStyle w:val="000000100000" w:firstRow="0" w:lastRow="0" w:firstColumn="0" w:lastColumn="0" w:oddVBand="0" w:evenVBand="0" w:oddHBand="1" w:evenHBand="0" w:firstRowFirstColumn="0" w:firstRowLastColumn="0" w:lastRowFirstColumn="0" w:lastRowLastColumn="0"/>
              <w:rPr>
                <w:color w:val="auto"/>
              </w:rPr>
            </w:pPr>
            <w:r w:rsidRPr="00FD137E">
              <w:rPr>
                <w:color w:val="auto"/>
              </w:rPr>
              <w:t>Središnji državni ured za razvoj digitalnog društva</w:t>
            </w:r>
          </w:p>
        </w:tc>
        <w:tc>
          <w:tcPr>
            <w:tcW w:w="2410" w:type="dxa"/>
            <w:noWrap/>
            <w:vAlign w:val="center"/>
            <w:hideMark/>
          </w:tcPr>
          <w:p w14:paraId="6D03A573" w14:textId="77777777" w:rsidR="003C2217" w:rsidRPr="00FD137E" w:rsidRDefault="00ED4C46" w:rsidP="001362A5">
            <w:pPr>
              <w:contextualSpacing/>
              <w:jc w:val="center"/>
              <w:cnfStyle w:val="000000100000" w:firstRow="0" w:lastRow="0" w:firstColumn="0" w:lastColumn="0" w:oddVBand="0" w:evenVBand="0" w:oddHBand="1" w:evenHBand="0" w:firstRowFirstColumn="0" w:firstRowLastColumn="0" w:lastRowFirstColumn="0" w:lastRowLastColumn="0"/>
              <w:rPr>
                <w:color w:val="auto"/>
              </w:rPr>
            </w:pPr>
            <w:r w:rsidRPr="00FD137E">
              <w:rPr>
                <w:color w:val="auto"/>
              </w:rPr>
              <w:t>5</w:t>
            </w:r>
          </w:p>
        </w:tc>
        <w:tc>
          <w:tcPr>
            <w:tcW w:w="2693" w:type="dxa"/>
            <w:noWrap/>
            <w:vAlign w:val="center"/>
            <w:hideMark/>
          </w:tcPr>
          <w:p w14:paraId="3FEF2FE7" w14:textId="77777777" w:rsidR="003C2217" w:rsidRPr="00FD137E" w:rsidRDefault="00ED4C46" w:rsidP="001362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1</w:t>
            </w:r>
          </w:p>
        </w:tc>
        <w:tc>
          <w:tcPr>
            <w:tcW w:w="2410" w:type="dxa"/>
            <w:noWrap/>
            <w:vAlign w:val="center"/>
            <w:hideMark/>
          </w:tcPr>
          <w:p w14:paraId="560D85F6" w14:textId="77777777" w:rsidR="003C2217" w:rsidRPr="00FD137E" w:rsidRDefault="00ED4C46" w:rsidP="001362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1</w:t>
            </w:r>
          </w:p>
        </w:tc>
      </w:tr>
      <w:tr w:rsidR="003C2217" w:rsidRPr="00FD137E" w14:paraId="45F33251" w14:textId="77777777" w:rsidTr="00FD137E">
        <w:trPr>
          <w:trHeight w:val="454"/>
        </w:trPr>
        <w:tc>
          <w:tcPr>
            <w:cnfStyle w:val="001000000000" w:firstRow="0" w:lastRow="0" w:firstColumn="1" w:lastColumn="0" w:oddVBand="0" w:evenVBand="0" w:oddHBand="0" w:evenHBand="0" w:firstRowFirstColumn="0" w:firstRowLastColumn="0" w:lastRowFirstColumn="0" w:lastRowLastColumn="0"/>
            <w:tcW w:w="741" w:type="dxa"/>
            <w:vAlign w:val="center"/>
            <w:hideMark/>
          </w:tcPr>
          <w:p w14:paraId="250B4032" w14:textId="77777777" w:rsidR="003C2217" w:rsidRPr="00FD137E" w:rsidRDefault="003C2217" w:rsidP="00F01225">
            <w:pPr>
              <w:jc w:val="center"/>
              <w:rPr>
                <w:rFonts w:eastAsia="Times New Roman" w:cs="Times New Roman"/>
                <w:b w:val="0"/>
                <w:color w:val="000000"/>
                <w:lang w:eastAsia="hr-HR"/>
              </w:rPr>
            </w:pPr>
            <w:r w:rsidRPr="00FD137E">
              <w:rPr>
                <w:rFonts w:eastAsia="Times New Roman" w:cs="Times New Roman"/>
                <w:b w:val="0"/>
                <w:color w:val="000000"/>
                <w:lang w:eastAsia="hr-HR"/>
              </w:rPr>
              <w:t>32.</w:t>
            </w:r>
          </w:p>
        </w:tc>
        <w:tc>
          <w:tcPr>
            <w:tcW w:w="5775" w:type="dxa"/>
            <w:vAlign w:val="center"/>
            <w:hideMark/>
          </w:tcPr>
          <w:p w14:paraId="3BAA746A" w14:textId="77777777" w:rsidR="003C2217" w:rsidRPr="00FD137E" w:rsidRDefault="003C2217" w:rsidP="00ED4C46">
            <w:pPr>
              <w:contextualSpacing/>
              <w:cnfStyle w:val="000000000000" w:firstRow="0" w:lastRow="0" w:firstColumn="0" w:lastColumn="0" w:oddVBand="0" w:evenVBand="0" w:oddHBand="0" w:evenHBand="0" w:firstRowFirstColumn="0" w:firstRowLastColumn="0" w:lastRowFirstColumn="0" w:lastRowLastColumn="0"/>
              <w:rPr>
                <w:color w:val="auto"/>
              </w:rPr>
            </w:pPr>
            <w:r w:rsidRPr="00FD137E">
              <w:rPr>
                <w:color w:val="auto"/>
              </w:rPr>
              <w:t xml:space="preserve">Državni zavod za </w:t>
            </w:r>
            <w:r w:rsidR="00ED4C46" w:rsidRPr="00FD137E">
              <w:rPr>
                <w:color w:val="auto"/>
              </w:rPr>
              <w:t>intelektualno vlasništvo</w:t>
            </w:r>
          </w:p>
        </w:tc>
        <w:tc>
          <w:tcPr>
            <w:tcW w:w="2410" w:type="dxa"/>
            <w:noWrap/>
            <w:vAlign w:val="center"/>
            <w:hideMark/>
          </w:tcPr>
          <w:p w14:paraId="1540CD78" w14:textId="77777777" w:rsidR="003C2217" w:rsidRPr="00FD137E" w:rsidRDefault="00ED4C46" w:rsidP="001362A5">
            <w:pPr>
              <w:contextualSpacing/>
              <w:jc w:val="center"/>
              <w:cnfStyle w:val="000000000000" w:firstRow="0" w:lastRow="0" w:firstColumn="0" w:lastColumn="0" w:oddVBand="0" w:evenVBand="0" w:oddHBand="0" w:evenHBand="0" w:firstRowFirstColumn="0" w:firstRowLastColumn="0" w:lastRowFirstColumn="0" w:lastRowLastColumn="0"/>
              <w:rPr>
                <w:color w:val="auto"/>
              </w:rPr>
            </w:pPr>
            <w:r w:rsidRPr="00FD137E">
              <w:rPr>
                <w:color w:val="auto"/>
              </w:rPr>
              <w:t>3</w:t>
            </w:r>
          </w:p>
        </w:tc>
        <w:tc>
          <w:tcPr>
            <w:tcW w:w="2693" w:type="dxa"/>
            <w:noWrap/>
            <w:vAlign w:val="center"/>
            <w:hideMark/>
          </w:tcPr>
          <w:p w14:paraId="72172897" w14:textId="77777777" w:rsidR="003C2217" w:rsidRPr="00FD137E" w:rsidRDefault="00ED4C46" w:rsidP="001362A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9</w:t>
            </w:r>
          </w:p>
        </w:tc>
        <w:tc>
          <w:tcPr>
            <w:tcW w:w="2410" w:type="dxa"/>
            <w:noWrap/>
            <w:vAlign w:val="center"/>
            <w:hideMark/>
          </w:tcPr>
          <w:p w14:paraId="7D7D2B4D" w14:textId="77777777" w:rsidR="003C2217" w:rsidRPr="00FD137E" w:rsidRDefault="00ED4C46" w:rsidP="001362A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11</w:t>
            </w:r>
          </w:p>
        </w:tc>
      </w:tr>
      <w:tr w:rsidR="003C2217" w:rsidRPr="00FD137E" w14:paraId="30F7DD48" w14:textId="77777777" w:rsidTr="00FD137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41" w:type="dxa"/>
            <w:vAlign w:val="center"/>
            <w:hideMark/>
          </w:tcPr>
          <w:p w14:paraId="1DDE2552" w14:textId="77777777" w:rsidR="003C2217" w:rsidRPr="00FD137E" w:rsidRDefault="003C2217" w:rsidP="00F01225">
            <w:pPr>
              <w:jc w:val="center"/>
              <w:rPr>
                <w:rFonts w:eastAsia="Times New Roman" w:cs="Times New Roman"/>
                <w:b w:val="0"/>
                <w:color w:val="auto"/>
                <w:lang w:eastAsia="hr-HR"/>
              </w:rPr>
            </w:pPr>
            <w:r w:rsidRPr="00FD137E">
              <w:rPr>
                <w:rFonts w:eastAsia="Times New Roman" w:cs="Times New Roman"/>
                <w:b w:val="0"/>
                <w:color w:val="auto"/>
                <w:lang w:eastAsia="hr-HR"/>
              </w:rPr>
              <w:t>33.</w:t>
            </w:r>
          </w:p>
        </w:tc>
        <w:tc>
          <w:tcPr>
            <w:tcW w:w="5775" w:type="dxa"/>
            <w:vAlign w:val="center"/>
            <w:hideMark/>
          </w:tcPr>
          <w:p w14:paraId="6E4A70BC" w14:textId="77777777" w:rsidR="003C2217" w:rsidRPr="00FD137E" w:rsidRDefault="003C2217" w:rsidP="00ED4C46">
            <w:pPr>
              <w:contextualSpacing/>
              <w:cnfStyle w:val="000000100000" w:firstRow="0" w:lastRow="0" w:firstColumn="0" w:lastColumn="0" w:oddVBand="0" w:evenVBand="0" w:oddHBand="1" w:evenHBand="0" w:firstRowFirstColumn="0" w:firstRowLastColumn="0" w:lastRowFirstColumn="0" w:lastRowLastColumn="0"/>
              <w:rPr>
                <w:color w:val="auto"/>
              </w:rPr>
            </w:pPr>
            <w:r w:rsidRPr="00FD137E">
              <w:rPr>
                <w:color w:val="auto"/>
              </w:rPr>
              <w:t xml:space="preserve">Državni zavod za </w:t>
            </w:r>
            <w:r w:rsidR="00ED4C46" w:rsidRPr="00FD137E">
              <w:rPr>
                <w:color w:val="auto"/>
              </w:rPr>
              <w:t>statistiku</w:t>
            </w:r>
          </w:p>
        </w:tc>
        <w:tc>
          <w:tcPr>
            <w:tcW w:w="2410" w:type="dxa"/>
            <w:noWrap/>
            <w:vAlign w:val="center"/>
            <w:hideMark/>
          </w:tcPr>
          <w:p w14:paraId="38D3D41C" w14:textId="77777777" w:rsidR="003C2217" w:rsidRPr="00FD137E" w:rsidRDefault="00ED4C46" w:rsidP="001362A5">
            <w:pPr>
              <w:contextualSpacing/>
              <w:jc w:val="center"/>
              <w:cnfStyle w:val="000000100000" w:firstRow="0" w:lastRow="0" w:firstColumn="0" w:lastColumn="0" w:oddVBand="0" w:evenVBand="0" w:oddHBand="1" w:evenHBand="0" w:firstRowFirstColumn="0" w:firstRowLastColumn="0" w:lastRowFirstColumn="0" w:lastRowLastColumn="0"/>
              <w:rPr>
                <w:color w:val="auto"/>
              </w:rPr>
            </w:pPr>
            <w:r w:rsidRPr="00FD137E">
              <w:rPr>
                <w:color w:val="auto"/>
              </w:rPr>
              <w:t>2</w:t>
            </w:r>
          </w:p>
        </w:tc>
        <w:tc>
          <w:tcPr>
            <w:tcW w:w="2693" w:type="dxa"/>
            <w:noWrap/>
            <w:vAlign w:val="center"/>
            <w:hideMark/>
          </w:tcPr>
          <w:p w14:paraId="317CFABC" w14:textId="77777777" w:rsidR="003C2217" w:rsidRPr="00FD137E" w:rsidRDefault="00ED4C46" w:rsidP="001362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11</w:t>
            </w:r>
          </w:p>
        </w:tc>
        <w:tc>
          <w:tcPr>
            <w:tcW w:w="2410" w:type="dxa"/>
            <w:noWrap/>
            <w:vAlign w:val="center"/>
            <w:hideMark/>
          </w:tcPr>
          <w:p w14:paraId="22ABB97E" w14:textId="77777777" w:rsidR="003C2217" w:rsidRPr="00FD137E" w:rsidRDefault="00ED4C46" w:rsidP="001362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15</w:t>
            </w:r>
          </w:p>
        </w:tc>
      </w:tr>
      <w:tr w:rsidR="003C2217" w:rsidRPr="00FD137E" w14:paraId="7A306FB9" w14:textId="77777777" w:rsidTr="00FD137E">
        <w:trPr>
          <w:trHeight w:val="454"/>
        </w:trPr>
        <w:tc>
          <w:tcPr>
            <w:cnfStyle w:val="001000000000" w:firstRow="0" w:lastRow="0" w:firstColumn="1" w:lastColumn="0" w:oddVBand="0" w:evenVBand="0" w:oddHBand="0" w:evenHBand="0" w:firstRowFirstColumn="0" w:firstRowLastColumn="0" w:lastRowFirstColumn="0" w:lastRowLastColumn="0"/>
            <w:tcW w:w="741" w:type="dxa"/>
            <w:vAlign w:val="center"/>
            <w:hideMark/>
          </w:tcPr>
          <w:p w14:paraId="2FF0EA13" w14:textId="77777777" w:rsidR="003C2217" w:rsidRPr="00FD137E" w:rsidRDefault="003C2217" w:rsidP="00F01225">
            <w:pPr>
              <w:jc w:val="center"/>
              <w:rPr>
                <w:rFonts w:eastAsia="Times New Roman" w:cs="Times New Roman"/>
                <w:b w:val="0"/>
                <w:color w:val="000000"/>
                <w:lang w:eastAsia="hr-HR"/>
              </w:rPr>
            </w:pPr>
            <w:r w:rsidRPr="00FD137E">
              <w:rPr>
                <w:rFonts w:eastAsia="Times New Roman" w:cs="Times New Roman"/>
                <w:b w:val="0"/>
                <w:color w:val="000000"/>
                <w:lang w:eastAsia="hr-HR"/>
              </w:rPr>
              <w:t>34.</w:t>
            </w:r>
          </w:p>
        </w:tc>
        <w:tc>
          <w:tcPr>
            <w:tcW w:w="5775" w:type="dxa"/>
            <w:vAlign w:val="center"/>
            <w:hideMark/>
          </w:tcPr>
          <w:p w14:paraId="4850A95A" w14:textId="77777777" w:rsidR="003C2217" w:rsidRPr="00FD137E" w:rsidRDefault="00ED4C46" w:rsidP="00ED4C46">
            <w:pPr>
              <w:contextualSpacing/>
              <w:cnfStyle w:val="000000000000" w:firstRow="0" w:lastRow="0" w:firstColumn="0" w:lastColumn="0" w:oddVBand="0" w:evenVBand="0" w:oddHBand="0" w:evenHBand="0" w:firstRowFirstColumn="0" w:firstRowLastColumn="0" w:lastRowFirstColumn="0" w:lastRowLastColumn="0"/>
              <w:rPr>
                <w:color w:val="auto"/>
              </w:rPr>
            </w:pPr>
            <w:r w:rsidRPr="00FD137E">
              <w:rPr>
                <w:color w:val="auto"/>
              </w:rPr>
              <w:t>Državni zavod za mjeriteljstvo</w:t>
            </w:r>
          </w:p>
        </w:tc>
        <w:tc>
          <w:tcPr>
            <w:tcW w:w="2410" w:type="dxa"/>
            <w:noWrap/>
            <w:vAlign w:val="center"/>
            <w:hideMark/>
          </w:tcPr>
          <w:p w14:paraId="597DC25A" w14:textId="77777777" w:rsidR="003C2217" w:rsidRPr="00FD137E" w:rsidRDefault="003C2217" w:rsidP="001362A5">
            <w:pPr>
              <w:contextualSpacing/>
              <w:jc w:val="center"/>
              <w:cnfStyle w:val="000000000000" w:firstRow="0" w:lastRow="0" w:firstColumn="0" w:lastColumn="0" w:oddVBand="0" w:evenVBand="0" w:oddHBand="0" w:evenHBand="0" w:firstRowFirstColumn="0" w:firstRowLastColumn="0" w:lastRowFirstColumn="0" w:lastRowLastColumn="0"/>
              <w:rPr>
                <w:color w:val="auto"/>
              </w:rPr>
            </w:pPr>
            <w:r w:rsidRPr="00FD137E">
              <w:rPr>
                <w:color w:val="auto"/>
              </w:rPr>
              <w:t>1</w:t>
            </w:r>
            <w:r w:rsidR="00ED4C46" w:rsidRPr="00FD137E">
              <w:rPr>
                <w:color w:val="auto"/>
              </w:rPr>
              <w:t>4</w:t>
            </w:r>
          </w:p>
        </w:tc>
        <w:tc>
          <w:tcPr>
            <w:tcW w:w="2693" w:type="dxa"/>
            <w:noWrap/>
            <w:vAlign w:val="center"/>
            <w:hideMark/>
          </w:tcPr>
          <w:p w14:paraId="4895DCAC" w14:textId="77777777" w:rsidR="003C2217" w:rsidRPr="00FD137E" w:rsidRDefault="00ED4C46" w:rsidP="001362A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10</w:t>
            </w:r>
          </w:p>
        </w:tc>
        <w:tc>
          <w:tcPr>
            <w:tcW w:w="2410" w:type="dxa"/>
            <w:noWrap/>
            <w:vAlign w:val="center"/>
            <w:hideMark/>
          </w:tcPr>
          <w:p w14:paraId="383F947E" w14:textId="77777777" w:rsidR="003C2217" w:rsidRPr="00FD137E" w:rsidRDefault="00ED4C46" w:rsidP="001362A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47</w:t>
            </w:r>
          </w:p>
        </w:tc>
      </w:tr>
      <w:tr w:rsidR="003C2217" w:rsidRPr="00FD137E" w14:paraId="0AE57C72" w14:textId="77777777" w:rsidTr="00FD137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41" w:type="dxa"/>
            <w:vAlign w:val="center"/>
            <w:hideMark/>
          </w:tcPr>
          <w:p w14:paraId="2F3B1720" w14:textId="77777777" w:rsidR="003C2217" w:rsidRPr="00FD137E" w:rsidRDefault="003C2217" w:rsidP="00F01225">
            <w:pPr>
              <w:jc w:val="center"/>
              <w:rPr>
                <w:rFonts w:eastAsia="Times New Roman" w:cs="Times New Roman"/>
                <w:b w:val="0"/>
                <w:color w:val="000000"/>
                <w:lang w:eastAsia="hr-HR"/>
              </w:rPr>
            </w:pPr>
            <w:r w:rsidRPr="00FD137E">
              <w:rPr>
                <w:rFonts w:eastAsia="Times New Roman" w:cs="Times New Roman"/>
                <w:b w:val="0"/>
                <w:color w:val="000000"/>
                <w:lang w:eastAsia="hr-HR"/>
              </w:rPr>
              <w:t>35.</w:t>
            </w:r>
          </w:p>
        </w:tc>
        <w:tc>
          <w:tcPr>
            <w:tcW w:w="5775" w:type="dxa"/>
            <w:vAlign w:val="center"/>
            <w:hideMark/>
          </w:tcPr>
          <w:p w14:paraId="08F2F77A" w14:textId="77777777" w:rsidR="003C2217" w:rsidRPr="00FD137E" w:rsidRDefault="00ED4C46" w:rsidP="00ED4C46">
            <w:pPr>
              <w:contextualSpacing/>
              <w:cnfStyle w:val="000000100000" w:firstRow="0" w:lastRow="0" w:firstColumn="0" w:lastColumn="0" w:oddVBand="0" w:evenVBand="0" w:oddHBand="1" w:evenHBand="0" w:firstRowFirstColumn="0" w:firstRowLastColumn="0" w:lastRowFirstColumn="0" w:lastRowLastColumn="0"/>
              <w:rPr>
                <w:color w:val="auto"/>
              </w:rPr>
            </w:pPr>
            <w:r w:rsidRPr="00FD137E">
              <w:rPr>
                <w:color w:val="auto"/>
              </w:rPr>
              <w:t>Državni</w:t>
            </w:r>
            <w:r w:rsidR="003C2217" w:rsidRPr="00FD137E">
              <w:rPr>
                <w:color w:val="auto"/>
              </w:rPr>
              <w:t xml:space="preserve"> </w:t>
            </w:r>
            <w:r w:rsidRPr="00FD137E">
              <w:rPr>
                <w:color w:val="auto"/>
              </w:rPr>
              <w:t>zavod za radiološku i nuklearnu sigurnost</w:t>
            </w:r>
          </w:p>
        </w:tc>
        <w:tc>
          <w:tcPr>
            <w:tcW w:w="2410" w:type="dxa"/>
            <w:noWrap/>
            <w:vAlign w:val="center"/>
            <w:hideMark/>
          </w:tcPr>
          <w:p w14:paraId="6C0CB66B" w14:textId="77777777" w:rsidR="003C2217" w:rsidRPr="00FD137E" w:rsidRDefault="00ED4C46" w:rsidP="001362A5">
            <w:pPr>
              <w:contextualSpacing/>
              <w:jc w:val="center"/>
              <w:cnfStyle w:val="000000100000" w:firstRow="0" w:lastRow="0" w:firstColumn="0" w:lastColumn="0" w:oddVBand="0" w:evenVBand="0" w:oddHBand="1" w:evenHBand="0" w:firstRowFirstColumn="0" w:firstRowLastColumn="0" w:lastRowFirstColumn="0" w:lastRowLastColumn="0"/>
              <w:rPr>
                <w:color w:val="auto"/>
              </w:rPr>
            </w:pPr>
            <w:r w:rsidRPr="00FD137E">
              <w:rPr>
                <w:color w:val="auto"/>
              </w:rPr>
              <w:t>14</w:t>
            </w:r>
          </w:p>
        </w:tc>
        <w:tc>
          <w:tcPr>
            <w:tcW w:w="2693" w:type="dxa"/>
            <w:noWrap/>
            <w:vAlign w:val="center"/>
            <w:hideMark/>
          </w:tcPr>
          <w:p w14:paraId="3EBF226E" w14:textId="77777777" w:rsidR="003C2217" w:rsidRPr="00FD137E" w:rsidRDefault="00ED4C46" w:rsidP="001362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auto"/>
                <w:lang w:eastAsia="hr-HR"/>
              </w:rPr>
            </w:pPr>
            <w:r w:rsidRPr="00FD137E">
              <w:rPr>
                <w:rFonts w:eastAsia="Times New Roman" w:cs="Times New Roman"/>
                <w:bCs/>
                <w:color w:val="auto"/>
                <w:lang w:eastAsia="hr-HR"/>
              </w:rPr>
              <w:t>20</w:t>
            </w:r>
          </w:p>
        </w:tc>
        <w:tc>
          <w:tcPr>
            <w:tcW w:w="2410" w:type="dxa"/>
            <w:noWrap/>
            <w:vAlign w:val="center"/>
            <w:hideMark/>
          </w:tcPr>
          <w:p w14:paraId="45989DAB" w14:textId="77777777" w:rsidR="003C2217" w:rsidRPr="00FD137E" w:rsidRDefault="00ED4C46" w:rsidP="001362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auto"/>
                <w:lang w:eastAsia="hr-HR"/>
              </w:rPr>
            </w:pPr>
            <w:r w:rsidRPr="00FD137E">
              <w:rPr>
                <w:rFonts w:eastAsia="Times New Roman" w:cs="Times New Roman"/>
                <w:bCs/>
                <w:color w:val="auto"/>
                <w:lang w:eastAsia="hr-HR"/>
              </w:rPr>
              <w:t>348</w:t>
            </w:r>
          </w:p>
        </w:tc>
      </w:tr>
      <w:tr w:rsidR="003C2217" w:rsidRPr="00FD137E" w14:paraId="746564D4" w14:textId="77777777" w:rsidTr="00FD137E">
        <w:trPr>
          <w:trHeight w:val="454"/>
        </w:trPr>
        <w:tc>
          <w:tcPr>
            <w:cnfStyle w:val="001000000000" w:firstRow="0" w:lastRow="0" w:firstColumn="1" w:lastColumn="0" w:oddVBand="0" w:evenVBand="0" w:oddHBand="0" w:evenHBand="0" w:firstRowFirstColumn="0" w:firstRowLastColumn="0" w:lastRowFirstColumn="0" w:lastRowLastColumn="0"/>
            <w:tcW w:w="741" w:type="dxa"/>
            <w:vAlign w:val="center"/>
            <w:hideMark/>
          </w:tcPr>
          <w:p w14:paraId="20E3D44B" w14:textId="77777777" w:rsidR="003C2217" w:rsidRPr="00FD137E" w:rsidRDefault="003C2217" w:rsidP="00F01225">
            <w:pPr>
              <w:jc w:val="center"/>
              <w:rPr>
                <w:rFonts w:eastAsia="Times New Roman" w:cs="Times New Roman"/>
                <w:b w:val="0"/>
                <w:color w:val="000000"/>
                <w:lang w:eastAsia="hr-HR"/>
              </w:rPr>
            </w:pPr>
            <w:r w:rsidRPr="00FD137E">
              <w:rPr>
                <w:rFonts w:eastAsia="Times New Roman" w:cs="Times New Roman"/>
                <w:b w:val="0"/>
                <w:color w:val="000000"/>
                <w:lang w:eastAsia="hr-HR"/>
              </w:rPr>
              <w:lastRenderedPageBreak/>
              <w:t>36.</w:t>
            </w:r>
          </w:p>
        </w:tc>
        <w:tc>
          <w:tcPr>
            <w:tcW w:w="5775" w:type="dxa"/>
            <w:vAlign w:val="center"/>
            <w:hideMark/>
          </w:tcPr>
          <w:p w14:paraId="5F540188" w14:textId="77777777" w:rsidR="003C2217" w:rsidRPr="00FD137E" w:rsidRDefault="00ED4C46" w:rsidP="001362A5">
            <w:pPr>
              <w:contextualSpacing/>
              <w:cnfStyle w:val="000000000000" w:firstRow="0" w:lastRow="0" w:firstColumn="0" w:lastColumn="0" w:oddVBand="0" w:evenVBand="0" w:oddHBand="0" w:evenHBand="0" w:firstRowFirstColumn="0" w:firstRowLastColumn="0" w:lastRowFirstColumn="0" w:lastRowLastColumn="0"/>
              <w:rPr>
                <w:color w:val="auto"/>
              </w:rPr>
            </w:pPr>
            <w:r w:rsidRPr="00FD137E">
              <w:rPr>
                <w:color w:val="auto"/>
              </w:rPr>
              <w:t>Državna geodetska uprava</w:t>
            </w:r>
          </w:p>
        </w:tc>
        <w:tc>
          <w:tcPr>
            <w:tcW w:w="2410" w:type="dxa"/>
            <w:noWrap/>
            <w:vAlign w:val="center"/>
            <w:hideMark/>
          </w:tcPr>
          <w:p w14:paraId="34CBB8C4" w14:textId="77777777" w:rsidR="003C2217" w:rsidRPr="00FD137E" w:rsidRDefault="00ED4C46" w:rsidP="001362A5">
            <w:pPr>
              <w:contextualSpacing/>
              <w:jc w:val="center"/>
              <w:cnfStyle w:val="000000000000" w:firstRow="0" w:lastRow="0" w:firstColumn="0" w:lastColumn="0" w:oddVBand="0" w:evenVBand="0" w:oddHBand="0" w:evenHBand="0" w:firstRowFirstColumn="0" w:firstRowLastColumn="0" w:lastRowFirstColumn="0" w:lastRowLastColumn="0"/>
              <w:rPr>
                <w:color w:val="auto"/>
              </w:rPr>
            </w:pPr>
            <w:r w:rsidRPr="00FD137E">
              <w:rPr>
                <w:color w:val="auto"/>
              </w:rPr>
              <w:t>7</w:t>
            </w:r>
          </w:p>
        </w:tc>
        <w:tc>
          <w:tcPr>
            <w:tcW w:w="2693" w:type="dxa"/>
            <w:noWrap/>
            <w:vAlign w:val="center"/>
            <w:hideMark/>
          </w:tcPr>
          <w:p w14:paraId="067C026F" w14:textId="77777777" w:rsidR="003C2217" w:rsidRPr="00FD137E" w:rsidRDefault="00ED4C46" w:rsidP="001362A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28</w:t>
            </w:r>
          </w:p>
        </w:tc>
        <w:tc>
          <w:tcPr>
            <w:tcW w:w="2410" w:type="dxa"/>
            <w:noWrap/>
            <w:vAlign w:val="center"/>
            <w:hideMark/>
          </w:tcPr>
          <w:p w14:paraId="5E761DE3" w14:textId="77777777" w:rsidR="003C2217" w:rsidRPr="00FD137E" w:rsidRDefault="00ED4C46" w:rsidP="001362A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219</w:t>
            </w:r>
          </w:p>
        </w:tc>
      </w:tr>
      <w:tr w:rsidR="003C2217" w:rsidRPr="00FD137E" w14:paraId="5BB64B3A" w14:textId="77777777" w:rsidTr="00FD137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41" w:type="dxa"/>
            <w:vAlign w:val="center"/>
            <w:hideMark/>
          </w:tcPr>
          <w:p w14:paraId="70DA1146" w14:textId="77777777" w:rsidR="003C2217" w:rsidRPr="00FD137E" w:rsidRDefault="003C2217" w:rsidP="00F01225">
            <w:pPr>
              <w:jc w:val="center"/>
              <w:rPr>
                <w:rFonts w:eastAsia="Times New Roman" w:cs="Times New Roman"/>
                <w:b w:val="0"/>
                <w:color w:val="000000"/>
                <w:lang w:eastAsia="hr-HR"/>
              </w:rPr>
            </w:pPr>
            <w:r w:rsidRPr="00FD137E">
              <w:rPr>
                <w:rFonts w:eastAsia="Times New Roman" w:cs="Times New Roman"/>
                <w:b w:val="0"/>
                <w:color w:val="000000"/>
                <w:lang w:eastAsia="hr-HR"/>
              </w:rPr>
              <w:t>37.</w:t>
            </w:r>
          </w:p>
        </w:tc>
        <w:tc>
          <w:tcPr>
            <w:tcW w:w="5775" w:type="dxa"/>
            <w:vAlign w:val="center"/>
            <w:hideMark/>
          </w:tcPr>
          <w:p w14:paraId="78D598CC" w14:textId="77777777" w:rsidR="003C2217" w:rsidRPr="00FD137E" w:rsidRDefault="00ED4C46" w:rsidP="001362A5">
            <w:pPr>
              <w:contextualSpacing/>
              <w:cnfStyle w:val="000000100000" w:firstRow="0" w:lastRow="0" w:firstColumn="0" w:lastColumn="0" w:oddVBand="0" w:evenVBand="0" w:oddHBand="1" w:evenHBand="0" w:firstRowFirstColumn="0" w:firstRowLastColumn="0" w:lastRowFirstColumn="0" w:lastRowLastColumn="0"/>
              <w:rPr>
                <w:color w:val="auto"/>
              </w:rPr>
            </w:pPr>
            <w:r w:rsidRPr="00FD137E">
              <w:rPr>
                <w:color w:val="auto"/>
              </w:rPr>
              <w:t>Državni hidrometeorološki zavod</w:t>
            </w:r>
          </w:p>
        </w:tc>
        <w:tc>
          <w:tcPr>
            <w:tcW w:w="2410" w:type="dxa"/>
            <w:noWrap/>
            <w:vAlign w:val="center"/>
            <w:hideMark/>
          </w:tcPr>
          <w:p w14:paraId="3553B961" w14:textId="77777777" w:rsidR="003C2217" w:rsidRPr="00FD137E" w:rsidRDefault="003C2217" w:rsidP="001362A5">
            <w:pPr>
              <w:contextualSpacing/>
              <w:jc w:val="center"/>
              <w:cnfStyle w:val="000000100000" w:firstRow="0" w:lastRow="0" w:firstColumn="0" w:lastColumn="0" w:oddVBand="0" w:evenVBand="0" w:oddHBand="1" w:evenHBand="0" w:firstRowFirstColumn="0" w:firstRowLastColumn="0" w:lastRowFirstColumn="0" w:lastRowLastColumn="0"/>
              <w:rPr>
                <w:color w:val="auto"/>
              </w:rPr>
            </w:pPr>
            <w:r w:rsidRPr="00FD137E">
              <w:rPr>
                <w:color w:val="auto"/>
              </w:rPr>
              <w:t>1</w:t>
            </w:r>
          </w:p>
        </w:tc>
        <w:tc>
          <w:tcPr>
            <w:tcW w:w="2693" w:type="dxa"/>
            <w:noWrap/>
            <w:vAlign w:val="center"/>
            <w:hideMark/>
          </w:tcPr>
          <w:p w14:paraId="67FB8E09" w14:textId="77777777" w:rsidR="003C2217" w:rsidRPr="00FD137E" w:rsidRDefault="00ED4C46" w:rsidP="001362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auto"/>
                <w:lang w:eastAsia="hr-HR"/>
              </w:rPr>
            </w:pPr>
            <w:r w:rsidRPr="00FD137E">
              <w:rPr>
                <w:rFonts w:eastAsia="Times New Roman" w:cs="Times New Roman"/>
                <w:bCs/>
                <w:color w:val="auto"/>
                <w:lang w:eastAsia="hr-HR"/>
              </w:rPr>
              <w:t>0</w:t>
            </w:r>
          </w:p>
        </w:tc>
        <w:tc>
          <w:tcPr>
            <w:tcW w:w="2410" w:type="dxa"/>
            <w:noWrap/>
            <w:vAlign w:val="center"/>
            <w:hideMark/>
          </w:tcPr>
          <w:p w14:paraId="3884DA45" w14:textId="77777777" w:rsidR="003C2217" w:rsidRPr="00FD137E" w:rsidRDefault="00ED4C46" w:rsidP="001362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auto"/>
                <w:lang w:eastAsia="hr-HR"/>
              </w:rPr>
            </w:pPr>
            <w:r w:rsidRPr="00FD137E">
              <w:rPr>
                <w:rFonts w:eastAsia="Times New Roman" w:cs="Times New Roman"/>
                <w:bCs/>
                <w:color w:val="auto"/>
                <w:lang w:eastAsia="hr-HR"/>
              </w:rPr>
              <w:t>0</w:t>
            </w:r>
          </w:p>
        </w:tc>
      </w:tr>
      <w:tr w:rsidR="003C2217" w:rsidRPr="00FD137E" w14:paraId="2936504C" w14:textId="77777777" w:rsidTr="00FD137E">
        <w:trPr>
          <w:trHeight w:val="454"/>
        </w:trPr>
        <w:tc>
          <w:tcPr>
            <w:cnfStyle w:val="001000000000" w:firstRow="0" w:lastRow="0" w:firstColumn="1" w:lastColumn="0" w:oddVBand="0" w:evenVBand="0" w:oddHBand="0" w:evenHBand="0" w:firstRowFirstColumn="0" w:firstRowLastColumn="0" w:lastRowFirstColumn="0" w:lastRowLastColumn="0"/>
            <w:tcW w:w="741" w:type="dxa"/>
            <w:vAlign w:val="center"/>
            <w:hideMark/>
          </w:tcPr>
          <w:p w14:paraId="7B70D8D1" w14:textId="77777777" w:rsidR="003C2217" w:rsidRPr="00FD137E" w:rsidRDefault="003C2217" w:rsidP="00F01225">
            <w:pPr>
              <w:jc w:val="center"/>
              <w:rPr>
                <w:rFonts w:eastAsia="Times New Roman" w:cs="Times New Roman"/>
                <w:b w:val="0"/>
                <w:color w:val="000000"/>
                <w:lang w:eastAsia="hr-HR"/>
              </w:rPr>
            </w:pPr>
            <w:r w:rsidRPr="00FD137E">
              <w:rPr>
                <w:rFonts w:eastAsia="Times New Roman" w:cs="Times New Roman"/>
                <w:b w:val="0"/>
                <w:color w:val="000000"/>
                <w:lang w:eastAsia="hr-HR"/>
              </w:rPr>
              <w:t>38.</w:t>
            </w:r>
          </w:p>
        </w:tc>
        <w:tc>
          <w:tcPr>
            <w:tcW w:w="5775" w:type="dxa"/>
            <w:vAlign w:val="center"/>
            <w:hideMark/>
          </w:tcPr>
          <w:p w14:paraId="333AC795" w14:textId="77777777" w:rsidR="003C2217" w:rsidRPr="00FD137E" w:rsidRDefault="00ED4C46" w:rsidP="001362A5">
            <w:pPr>
              <w:contextualSpacing/>
              <w:cnfStyle w:val="000000000000" w:firstRow="0" w:lastRow="0" w:firstColumn="0" w:lastColumn="0" w:oddVBand="0" w:evenVBand="0" w:oddHBand="0" w:evenHBand="0" w:firstRowFirstColumn="0" w:firstRowLastColumn="0" w:lastRowFirstColumn="0" w:lastRowLastColumn="0"/>
              <w:rPr>
                <w:color w:val="auto"/>
              </w:rPr>
            </w:pPr>
            <w:r w:rsidRPr="00FD137E">
              <w:rPr>
                <w:color w:val="auto"/>
              </w:rPr>
              <w:t>Državna uprava za zaštitu i spašavanje</w:t>
            </w:r>
          </w:p>
        </w:tc>
        <w:tc>
          <w:tcPr>
            <w:tcW w:w="2410" w:type="dxa"/>
            <w:noWrap/>
            <w:vAlign w:val="center"/>
            <w:hideMark/>
          </w:tcPr>
          <w:p w14:paraId="71076A21" w14:textId="77777777" w:rsidR="003C2217" w:rsidRPr="00FD137E" w:rsidRDefault="00ED4C46" w:rsidP="001362A5">
            <w:pPr>
              <w:contextualSpacing/>
              <w:jc w:val="center"/>
              <w:cnfStyle w:val="000000000000" w:firstRow="0" w:lastRow="0" w:firstColumn="0" w:lastColumn="0" w:oddVBand="0" w:evenVBand="0" w:oddHBand="0" w:evenHBand="0" w:firstRowFirstColumn="0" w:firstRowLastColumn="0" w:lastRowFirstColumn="0" w:lastRowLastColumn="0"/>
              <w:rPr>
                <w:color w:val="auto"/>
              </w:rPr>
            </w:pPr>
            <w:r w:rsidRPr="00FD137E">
              <w:rPr>
                <w:color w:val="auto"/>
              </w:rPr>
              <w:t>1</w:t>
            </w:r>
          </w:p>
        </w:tc>
        <w:tc>
          <w:tcPr>
            <w:tcW w:w="2693" w:type="dxa"/>
            <w:noWrap/>
            <w:vAlign w:val="center"/>
            <w:hideMark/>
          </w:tcPr>
          <w:p w14:paraId="447F6D5F" w14:textId="77777777" w:rsidR="003C2217" w:rsidRPr="00FD137E" w:rsidRDefault="00ED4C46" w:rsidP="00ED4C4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0</w:t>
            </w:r>
          </w:p>
        </w:tc>
        <w:tc>
          <w:tcPr>
            <w:tcW w:w="2410" w:type="dxa"/>
            <w:noWrap/>
            <w:vAlign w:val="center"/>
            <w:hideMark/>
          </w:tcPr>
          <w:p w14:paraId="6793B93D" w14:textId="77777777" w:rsidR="003C2217" w:rsidRPr="00FD137E" w:rsidRDefault="00ED4C46" w:rsidP="001362A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0</w:t>
            </w:r>
          </w:p>
        </w:tc>
      </w:tr>
      <w:tr w:rsidR="003C2217" w:rsidRPr="00FD137E" w14:paraId="373F7FA4" w14:textId="77777777" w:rsidTr="00FD137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41" w:type="dxa"/>
            <w:vAlign w:val="center"/>
            <w:hideMark/>
          </w:tcPr>
          <w:p w14:paraId="23B3461C" w14:textId="77777777" w:rsidR="003C2217" w:rsidRPr="00FD137E" w:rsidRDefault="003C2217" w:rsidP="00F01225">
            <w:pPr>
              <w:jc w:val="center"/>
              <w:rPr>
                <w:rFonts w:eastAsia="Times New Roman" w:cs="Times New Roman"/>
                <w:b w:val="0"/>
                <w:color w:val="000000"/>
                <w:lang w:eastAsia="hr-HR"/>
              </w:rPr>
            </w:pPr>
            <w:r w:rsidRPr="00FD137E">
              <w:rPr>
                <w:rFonts w:eastAsia="Times New Roman" w:cs="Times New Roman"/>
                <w:b w:val="0"/>
                <w:color w:val="000000"/>
                <w:lang w:eastAsia="hr-HR"/>
              </w:rPr>
              <w:t>39.</w:t>
            </w:r>
          </w:p>
        </w:tc>
        <w:tc>
          <w:tcPr>
            <w:tcW w:w="5775" w:type="dxa"/>
            <w:vAlign w:val="center"/>
            <w:hideMark/>
          </w:tcPr>
          <w:p w14:paraId="2F955320" w14:textId="77777777" w:rsidR="003C2217" w:rsidRPr="00FD137E" w:rsidRDefault="003C2217" w:rsidP="00ED4C46">
            <w:pPr>
              <w:contextualSpacing/>
              <w:cnfStyle w:val="000000100000" w:firstRow="0" w:lastRow="0" w:firstColumn="0" w:lastColumn="0" w:oddVBand="0" w:evenVBand="0" w:oddHBand="1" w:evenHBand="0" w:firstRowFirstColumn="0" w:firstRowLastColumn="0" w:lastRowFirstColumn="0" w:lastRowLastColumn="0"/>
              <w:rPr>
                <w:color w:val="auto"/>
              </w:rPr>
            </w:pPr>
            <w:r w:rsidRPr="00FD137E">
              <w:rPr>
                <w:color w:val="auto"/>
              </w:rPr>
              <w:t xml:space="preserve">Agencija za </w:t>
            </w:r>
            <w:r w:rsidR="00ED4C46" w:rsidRPr="00FD137E">
              <w:rPr>
                <w:color w:val="auto"/>
              </w:rPr>
              <w:t xml:space="preserve">pravni promet i posredovanje nekretninama </w:t>
            </w:r>
          </w:p>
        </w:tc>
        <w:tc>
          <w:tcPr>
            <w:tcW w:w="2410" w:type="dxa"/>
            <w:noWrap/>
            <w:vAlign w:val="center"/>
            <w:hideMark/>
          </w:tcPr>
          <w:p w14:paraId="0EA2B9E3" w14:textId="77777777" w:rsidR="003C2217" w:rsidRPr="00FD137E" w:rsidRDefault="003C2217" w:rsidP="001362A5">
            <w:pPr>
              <w:contextualSpacing/>
              <w:jc w:val="center"/>
              <w:cnfStyle w:val="000000100000" w:firstRow="0" w:lastRow="0" w:firstColumn="0" w:lastColumn="0" w:oddVBand="0" w:evenVBand="0" w:oddHBand="1" w:evenHBand="0" w:firstRowFirstColumn="0" w:firstRowLastColumn="0" w:lastRowFirstColumn="0" w:lastRowLastColumn="0"/>
              <w:rPr>
                <w:color w:val="auto"/>
              </w:rPr>
            </w:pPr>
            <w:r w:rsidRPr="00FD137E">
              <w:rPr>
                <w:color w:val="auto"/>
              </w:rPr>
              <w:t>1</w:t>
            </w:r>
          </w:p>
        </w:tc>
        <w:tc>
          <w:tcPr>
            <w:tcW w:w="2693" w:type="dxa"/>
            <w:noWrap/>
            <w:vAlign w:val="center"/>
            <w:hideMark/>
          </w:tcPr>
          <w:p w14:paraId="13C1E2FA" w14:textId="77777777" w:rsidR="003C2217" w:rsidRPr="00FD137E" w:rsidRDefault="00ED4C46" w:rsidP="001362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3</w:t>
            </w:r>
          </w:p>
        </w:tc>
        <w:tc>
          <w:tcPr>
            <w:tcW w:w="2410" w:type="dxa"/>
            <w:noWrap/>
            <w:vAlign w:val="center"/>
            <w:hideMark/>
          </w:tcPr>
          <w:p w14:paraId="102D5C6D" w14:textId="77777777" w:rsidR="003C2217" w:rsidRPr="00FD137E" w:rsidRDefault="00ED4C46" w:rsidP="001362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3</w:t>
            </w:r>
          </w:p>
        </w:tc>
      </w:tr>
      <w:tr w:rsidR="003C2217" w:rsidRPr="00FD137E" w14:paraId="6171BCE1" w14:textId="77777777" w:rsidTr="00FD137E">
        <w:trPr>
          <w:trHeight w:val="454"/>
        </w:trPr>
        <w:tc>
          <w:tcPr>
            <w:cnfStyle w:val="001000000000" w:firstRow="0" w:lastRow="0" w:firstColumn="1" w:lastColumn="0" w:oddVBand="0" w:evenVBand="0" w:oddHBand="0" w:evenHBand="0" w:firstRowFirstColumn="0" w:firstRowLastColumn="0" w:lastRowFirstColumn="0" w:lastRowLastColumn="0"/>
            <w:tcW w:w="741" w:type="dxa"/>
            <w:vAlign w:val="center"/>
            <w:hideMark/>
          </w:tcPr>
          <w:p w14:paraId="1A107958" w14:textId="77777777" w:rsidR="003C2217" w:rsidRPr="00FD137E" w:rsidRDefault="003C2217" w:rsidP="00F01225">
            <w:pPr>
              <w:jc w:val="center"/>
              <w:rPr>
                <w:rFonts w:eastAsia="Times New Roman" w:cs="Times New Roman"/>
                <w:b w:val="0"/>
                <w:color w:val="000000"/>
                <w:lang w:eastAsia="hr-HR"/>
              </w:rPr>
            </w:pPr>
            <w:r w:rsidRPr="00FD137E">
              <w:rPr>
                <w:rFonts w:eastAsia="Times New Roman" w:cs="Times New Roman"/>
                <w:b w:val="0"/>
                <w:color w:val="000000"/>
                <w:lang w:eastAsia="hr-HR"/>
              </w:rPr>
              <w:t>40.</w:t>
            </w:r>
          </w:p>
        </w:tc>
        <w:tc>
          <w:tcPr>
            <w:tcW w:w="5775" w:type="dxa"/>
            <w:vAlign w:val="center"/>
            <w:hideMark/>
          </w:tcPr>
          <w:p w14:paraId="050BD261" w14:textId="77777777" w:rsidR="003C2217" w:rsidRPr="00FD137E" w:rsidRDefault="007A56B0" w:rsidP="001362A5">
            <w:pPr>
              <w:contextualSpacing/>
              <w:cnfStyle w:val="000000000000" w:firstRow="0" w:lastRow="0" w:firstColumn="0" w:lastColumn="0" w:oddVBand="0" w:evenVBand="0" w:oddHBand="0" w:evenHBand="0" w:firstRowFirstColumn="0" w:firstRowLastColumn="0" w:lastRowFirstColumn="0" w:lastRowLastColumn="0"/>
              <w:rPr>
                <w:color w:val="auto"/>
              </w:rPr>
            </w:pPr>
            <w:r w:rsidRPr="00FD137E">
              <w:rPr>
                <w:color w:val="auto"/>
              </w:rPr>
              <w:t>Hrvatski zavod za javno zdravstvo</w:t>
            </w:r>
          </w:p>
        </w:tc>
        <w:tc>
          <w:tcPr>
            <w:tcW w:w="2410" w:type="dxa"/>
            <w:noWrap/>
            <w:vAlign w:val="center"/>
            <w:hideMark/>
          </w:tcPr>
          <w:p w14:paraId="31928990" w14:textId="77777777" w:rsidR="003C2217" w:rsidRPr="00FD137E" w:rsidRDefault="007A56B0" w:rsidP="001362A5">
            <w:pPr>
              <w:contextualSpacing/>
              <w:jc w:val="center"/>
              <w:cnfStyle w:val="000000000000" w:firstRow="0" w:lastRow="0" w:firstColumn="0" w:lastColumn="0" w:oddVBand="0" w:evenVBand="0" w:oddHBand="0" w:evenHBand="0" w:firstRowFirstColumn="0" w:firstRowLastColumn="0" w:lastRowFirstColumn="0" w:lastRowLastColumn="0"/>
              <w:rPr>
                <w:color w:val="auto"/>
              </w:rPr>
            </w:pPr>
            <w:r w:rsidRPr="00FD137E">
              <w:rPr>
                <w:color w:val="auto"/>
              </w:rPr>
              <w:t>1</w:t>
            </w:r>
          </w:p>
        </w:tc>
        <w:tc>
          <w:tcPr>
            <w:tcW w:w="2693" w:type="dxa"/>
            <w:noWrap/>
            <w:vAlign w:val="center"/>
            <w:hideMark/>
          </w:tcPr>
          <w:p w14:paraId="5DB4273D" w14:textId="77777777" w:rsidR="003C2217" w:rsidRPr="00FD137E" w:rsidRDefault="007A56B0" w:rsidP="001362A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1</w:t>
            </w:r>
          </w:p>
        </w:tc>
        <w:tc>
          <w:tcPr>
            <w:tcW w:w="2410" w:type="dxa"/>
            <w:noWrap/>
            <w:vAlign w:val="center"/>
            <w:hideMark/>
          </w:tcPr>
          <w:p w14:paraId="63522567" w14:textId="77777777" w:rsidR="003C2217" w:rsidRPr="00FD137E" w:rsidRDefault="007A56B0" w:rsidP="001362A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9</w:t>
            </w:r>
          </w:p>
        </w:tc>
      </w:tr>
      <w:tr w:rsidR="007A56B0" w:rsidRPr="00FD137E" w14:paraId="47641E2C" w14:textId="77777777" w:rsidTr="00FD137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41" w:type="dxa"/>
            <w:vAlign w:val="center"/>
          </w:tcPr>
          <w:p w14:paraId="6367E31F" w14:textId="77777777" w:rsidR="007A56B0" w:rsidRPr="00FD137E" w:rsidRDefault="007A56B0" w:rsidP="00F01225">
            <w:pPr>
              <w:jc w:val="center"/>
              <w:rPr>
                <w:rFonts w:eastAsia="Times New Roman" w:cs="Times New Roman"/>
                <w:b w:val="0"/>
                <w:color w:val="000000"/>
                <w:highlight w:val="yellow"/>
                <w:lang w:eastAsia="hr-HR"/>
              </w:rPr>
            </w:pPr>
            <w:r w:rsidRPr="00FD137E">
              <w:rPr>
                <w:rFonts w:eastAsia="Times New Roman" w:cs="Times New Roman"/>
                <w:b w:val="0"/>
                <w:color w:val="000000"/>
                <w:lang w:eastAsia="hr-HR"/>
              </w:rPr>
              <w:t>41.</w:t>
            </w:r>
          </w:p>
        </w:tc>
        <w:tc>
          <w:tcPr>
            <w:tcW w:w="5775" w:type="dxa"/>
            <w:vAlign w:val="center"/>
          </w:tcPr>
          <w:p w14:paraId="2380FEDF" w14:textId="77777777" w:rsidR="007A56B0" w:rsidRPr="00FD137E" w:rsidRDefault="007A56B0" w:rsidP="001362A5">
            <w:pPr>
              <w:contextualSpacing/>
              <w:cnfStyle w:val="000000100000" w:firstRow="0" w:lastRow="0" w:firstColumn="0" w:lastColumn="0" w:oddVBand="0" w:evenVBand="0" w:oddHBand="1" w:evenHBand="0" w:firstRowFirstColumn="0" w:firstRowLastColumn="0" w:lastRowFirstColumn="0" w:lastRowLastColumn="0"/>
            </w:pPr>
            <w:r w:rsidRPr="00FD137E">
              <w:rPr>
                <w:color w:val="000000" w:themeColor="text1"/>
              </w:rPr>
              <w:t>Hrvatska liječnička komora</w:t>
            </w:r>
          </w:p>
        </w:tc>
        <w:tc>
          <w:tcPr>
            <w:tcW w:w="2410" w:type="dxa"/>
            <w:noWrap/>
            <w:vAlign w:val="center"/>
          </w:tcPr>
          <w:p w14:paraId="26BE65FD" w14:textId="77777777" w:rsidR="007A56B0" w:rsidRPr="00FD137E" w:rsidRDefault="007A56B0" w:rsidP="001362A5">
            <w:pPr>
              <w:contextualSpacing/>
              <w:jc w:val="center"/>
              <w:cnfStyle w:val="000000100000" w:firstRow="0" w:lastRow="0" w:firstColumn="0" w:lastColumn="0" w:oddVBand="0" w:evenVBand="0" w:oddHBand="1" w:evenHBand="0" w:firstRowFirstColumn="0" w:firstRowLastColumn="0" w:lastRowFirstColumn="0" w:lastRowLastColumn="0"/>
            </w:pPr>
            <w:r w:rsidRPr="00FD137E">
              <w:rPr>
                <w:color w:val="000000" w:themeColor="text1"/>
              </w:rPr>
              <w:t>1</w:t>
            </w:r>
          </w:p>
        </w:tc>
        <w:tc>
          <w:tcPr>
            <w:tcW w:w="2693" w:type="dxa"/>
            <w:noWrap/>
            <w:vAlign w:val="center"/>
          </w:tcPr>
          <w:p w14:paraId="715B5E7E" w14:textId="77777777" w:rsidR="007A56B0" w:rsidRPr="00FD137E" w:rsidRDefault="007A56B0" w:rsidP="001362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3</w:t>
            </w:r>
          </w:p>
        </w:tc>
        <w:tc>
          <w:tcPr>
            <w:tcW w:w="2410" w:type="dxa"/>
            <w:noWrap/>
            <w:vAlign w:val="center"/>
          </w:tcPr>
          <w:p w14:paraId="594501D5" w14:textId="77777777" w:rsidR="007A56B0" w:rsidRPr="00FD137E" w:rsidRDefault="007A56B0" w:rsidP="001362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9</w:t>
            </w:r>
          </w:p>
        </w:tc>
      </w:tr>
      <w:tr w:rsidR="007A56B0" w:rsidRPr="00FD137E" w14:paraId="711F575F" w14:textId="77777777" w:rsidTr="00FD137E">
        <w:trPr>
          <w:trHeight w:val="454"/>
        </w:trPr>
        <w:tc>
          <w:tcPr>
            <w:cnfStyle w:val="001000000000" w:firstRow="0" w:lastRow="0" w:firstColumn="1" w:lastColumn="0" w:oddVBand="0" w:evenVBand="0" w:oddHBand="0" w:evenHBand="0" w:firstRowFirstColumn="0" w:firstRowLastColumn="0" w:lastRowFirstColumn="0" w:lastRowLastColumn="0"/>
            <w:tcW w:w="741" w:type="dxa"/>
            <w:vAlign w:val="center"/>
          </w:tcPr>
          <w:p w14:paraId="66E656FF" w14:textId="77777777" w:rsidR="007A56B0" w:rsidRPr="00FD137E" w:rsidRDefault="007A56B0" w:rsidP="00F01225">
            <w:pPr>
              <w:jc w:val="center"/>
              <w:rPr>
                <w:rFonts w:eastAsia="Times New Roman" w:cs="Times New Roman"/>
                <w:b w:val="0"/>
                <w:color w:val="000000"/>
                <w:lang w:eastAsia="hr-HR"/>
              </w:rPr>
            </w:pPr>
            <w:r w:rsidRPr="00FD137E">
              <w:rPr>
                <w:rFonts w:eastAsia="Times New Roman" w:cs="Times New Roman"/>
                <w:b w:val="0"/>
                <w:color w:val="000000"/>
                <w:lang w:eastAsia="hr-HR"/>
              </w:rPr>
              <w:t>42.</w:t>
            </w:r>
          </w:p>
        </w:tc>
        <w:tc>
          <w:tcPr>
            <w:tcW w:w="5775" w:type="dxa"/>
            <w:vAlign w:val="center"/>
          </w:tcPr>
          <w:p w14:paraId="2DA46CC0" w14:textId="77777777" w:rsidR="007A56B0" w:rsidRPr="00FD137E" w:rsidRDefault="007A56B0" w:rsidP="001362A5">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r w:rsidRPr="00FD137E">
              <w:rPr>
                <w:color w:val="000000" w:themeColor="text1"/>
              </w:rPr>
              <w:t>Hrvatska agencija za nadzor financijskih usluga</w:t>
            </w:r>
          </w:p>
        </w:tc>
        <w:tc>
          <w:tcPr>
            <w:tcW w:w="2410" w:type="dxa"/>
            <w:noWrap/>
            <w:vAlign w:val="center"/>
          </w:tcPr>
          <w:p w14:paraId="17ECBBBF" w14:textId="77777777" w:rsidR="007A56B0" w:rsidRPr="00FD137E" w:rsidRDefault="007A56B0" w:rsidP="001362A5">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D137E">
              <w:rPr>
                <w:color w:val="000000" w:themeColor="text1"/>
              </w:rPr>
              <w:t>47</w:t>
            </w:r>
          </w:p>
        </w:tc>
        <w:tc>
          <w:tcPr>
            <w:tcW w:w="2693" w:type="dxa"/>
            <w:noWrap/>
            <w:vAlign w:val="center"/>
          </w:tcPr>
          <w:p w14:paraId="6FEB587D" w14:textId="77777777" w:rsidR="007A56B0" w:rsidRPr="00FD137E" w:rsidRDefault="007A56B0" w:rsidP="001362A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13</w:t>
            </w:r>
          </w:p>
        </w:tc>
        <w:tc>
          <w:tcPr>
            <w:tcW w:w="2410" w:type="dxa"/>
            <w:noWrap/>
            <w:vAlign w:val="center"/>
          </w:tcPr>
          <w:p w14:paraId="32AEA5E7" w14:textId="77777777" w:rsidR="007A56B0" w:rsidRPr="00FD137E" w:rsidRDefault="007A56B0" w:rsidP="001362A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96</w:t>
            </w:r>
          </w:p>
        </w:tc>
      </w:tr>
      <w:tr w:rsidR="007A56B0" w:rsidRPr="00FD137E" w14:paraId="443F6E18" w14:textId="77777777" w:rsidTr="00FD137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41" w:type="dxa"/>
            <w:vAlign w:val="center"/>
          </w:tcPr>
          <w:p w14:paraId="5A67CA27" w14:textId="77777777" w:rsidR="007A56B0" w:rsidRPr="00FD137E" w:rsidRDefault="007A56B0" w:rsidP="00F01225">
            <w:pPr>
              <w:jc w:val="center"/>
              <w:rPr>
                <w:rFonts w:eastAsia="Times New Roman" w:cs="Times New Roman"/>
                <w:b w:val="0"/>
                <w:color w:val="000000"/>
                <w:lang w:eastAsia="hr-HR"/>
              </w:rPr>
            </w:pPr>
            <w:r w:rsidRPr="00FD137E">
              <w:rPr>
                <w:rFonts w:eastAsia="Times New Roman" w:cs="Times New Roman"/>
                <w:b w:val="0"/>
                <w:color w:val="000000"/>
                <w:lang w:eastAsia="hr-HR"/>
              </w:rPr>
              <w:t>43.</w:t>
            </w:r>
          </w:p>
        </w:tc>
        <w:tc>
          <w:tcPr>
            <w:tcW w:w="5775" w:type="dxa"/>
            <w:vAlign w:val="center"/>
          </w:tcPr>
          <w:p w14:paraId="5AC310B5" w14:textId="77777777" w:rsidR="007A56B0" w:rsidRPr="00FD137E" w:rsidRDefault="007A56B0" w:rsidP="001362A5">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r w:rsidRPr="00FD137E">
              <w:rPr>
                <w:color w:val="000000" w:themeColor="text1"/>
              </w:rPr>
              <w:t>Zaklada „Kultura nova“</w:t>
            </w:r>
          </w:p>
        </w:tc>
        <w:tc>
          <w:tcPr>
            <w:tcW w:w="2410" w:type="dxa"/>
            <w:noWrap/>
            <w:vAlign w:val="center"/>
          </w:tcPr>
          <w:p w14:paraId="0864E818" w14:textId="77777777" w:rsidR="007A56B0" w:rsidRPr="00FD137E" w:rsidRDefault="007A56B0" w:rsidP="001362A5">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D137E">
              <w:rPr>
                <w:color w:val="000000" w:themeColor="text1"/>
              </w:rPr>
              <w:t>1</w:t>
            </w:r>
          </w:p>
        </w:tc>
        <w:tc>
          <w:tcPr>
            <w:tcW w:w="2693" w:type="dxa"/>
            <w:noWrap/>
            <w:vAlign w:val="center"/>
          </w:tcPr>
          <w:p w14:paraId="22288942" w14:textId="77777777" w:rsidR="007A56B0" w:rsidRPr="00FD137E" w:rsidRDefault="007A56B0" w:rsidP="001362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0</w:t>
            </w:r>
          </w:p>
        </w:tc>
        <w:tc>
          <w:tcPr>
            <w:tcW w:w="2410" w:type="dxa"/>
            <w:noWrap/>
            <w:vAlign w:val="center"/>
          </w:tcPr>
          <w:p w14:paraId="082666B9" w14:textId="77777777" w:rsidR="007A56B0" w:rsidRPr="00FD137E" w:rsidRDefault="007A56B0" w:rsidP="001362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0</w:t>
            </w:r>
          </w:p>
        </w:tc>
      </w:tr>
      <w:tr w:rsidR="007A56B0" w:rsidRPr="00FD137E" w14:paraId="5503F942" w14:textId="77777777" w:rsidTr="00FD137E">
        <w:trPr>
          <w:trHeight w:val="454"/>
        </w:trPr>
        <w:tc>
          <w:tcPr>
            <w:cnfStyle w:val="001000000000" w:firstRow="0" w:lastRow="0" w:firstColumn="1" w:lastColumn="0" w:oddVBand="0" w:evenVBand="0" w:oddHBand="0" w:evenHBand="0" w:firstRowFirstColumn="0" w:firstRowLastColumn="0" w:lastRowFirstColumn="0" w:lastRowLastColumn="0"/>
            <w:tcW w:w="741" w:type="dxa"/>
            <w:vAlign w:val="center"/>
          </w:tcPr>
          <w:p w14:paraId="506F72F9" w14:textId="77777777" w:rsidR="007A56B0" w:rsidRPr="00FD137E" w:rsidRDefault="007A56B0" w:rsidP="00F01225">
            <w:pPr>
              <w:jc w:val="center"/>
              <w:rPr>
                <w:rFonts w:eastAsia="Times New Roman" w:cs="Times New Roman"/>
                <w:b w:val="0"/>
                <w:color w:val="000000"/>
                <w:lang w:eastAsia="hr-HR"/>
              </w:rPr>
            </w:pPr>
            <w:r w:rsidRPr="00FD137E">
              <w:rPr>
                <w:rFonts w:eastAsia="Times New Roman" w:cs="Times New Roman"/>
                <w:b w:val="0"/>
                <w:color w:val="000000"/>
                <w:lang w:eastAsia="hr-HR"/>
              </w:rPr>
              <w:t>44.</w:t>
            </w:r>
          </w:p>
        </w:tc>
        <w:tc>
          <w:tcPr>
            <w:tcW w:w="5775" w:type="dxa"/>
            <w:vAlign w:val="center"/>
          </w:tcPr>
          <w:p w14:paraId="5E9A95A5" w14:textId="77777777" w:rsidR="007A56B0" w:rsidRPr="00FD137E" w:rsidRDefault="007A56B0" w:rsidP="001362A5">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r w:rsidRPr="00FD137E">
              <w:rPr>
                <w:color w:val="000000" w:themeColor="text1"/>
              </w:rPr>
              <w:t>Hrvatska narodna banka</w:t>
            </w:r>
          </w:p>
        </w:tc>
        <w:tc>
          <w:tcPr>
            <w:tcW w:w="2410" w:type="dxa"/>
            <w:noWrap/>
            <w:vAlign w:val="center"/>
          </w:tcPr>
          <w:p w14:paraId="6B6BB6F3" w14:textId="77777777" w:rsidR="007A56B0" w:rsidRPr="00FD137E" w:rsidRDefault="007A56B0" w:rsidP="001362A5">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D137E">
              <w:rPr>
                <w:color w:val="000000" w:themeColor="text1"/>
              </w:rPr>
              <w:t>30</w:t>
            </w:r>
          </w:p>
        </w:tc>
        <w:tc>
          <w:tcPr>
            <w:tcW w:w="2693" w:type="dxa"/>
            <w:noWrap/>
            <w:vAlign w:val="center"/>
          </w:tcPr>
          <w:p w14:paraId="1E568A94" w14:textId="77777777" w:rsidR="007A56B0" w:rsidRPr="00FD137E" w:rsidRDefault="007A56B0" w:rsidP="001362A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39</w:t>
            </w:r>
          </w:p>
        </w:tc>
        <w:tc>
          <w:tcPr>
            <w:tcW w:w="2410" w:type="dxa"/>
            <w:noWrap/>
            <w:vAlign w:val="center"/>
          </w:tcPr>
          <w:p w14:paraId="790F24CE" w14:textId="77777777" w:rsidR="007A56B0" w:rsidRPr="00FD137E" w:rsidRDefault="007A56B0" w:rsidP="001362A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111</w:t>
            </w:r>
          </w:p>
        </w:tc>
      </w:tr>
      <w:tr w:rsidR="003C2217" w:rsidRPr="00FD137E" w14:paraId="6C41EC79" w14:textId="77777777" w:rsidTr="00FD137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41" w:type="dxa"/>
            <w:vAlign w:val="center"/>
            <w:hideMark/>
          </w:tcPr>
          <w:p w14:paraId="147E2DB9" w14:textId="77777777" w:rsidR="003C2217" w:rsidRPr="00FD137E" w:rsidRDefault="003C2217" w:rsidP="001362A5">
            <w:pPr>
              <w:rPr>
                <w:rFonts w:eastAsia="Times New Roman" w:cs="Times New Roman"/>
                <w:b w:val="0"/>
                <w:color w:val="000000"/>
                <w:highlight w:val="yellow"/>
                <w:lang w:eastAsia="hr-HR"/>
              </w:rPr>
            </w:pPr>
            <w:r w:rsidRPr="00FD137E">
              <w:rPr>
                <w:rFonts w:eastAsia="Times New Roman" w:cs="Times New Roman"/>
                <w:b w:val="0"/>
                <w:color w:val="000000"/>
                <w:lang w:eastAsia="hr-HR"/>
              </w:rPr>
              <w:t> </w:t>
            </w:r>
          </w:p>
        </w:tc>
        <w:tc>
          <w:tcPr>
            <w:tcW w:w="5775" w:type="dxa"/>
            <w:vAlign w:val="center"/>
            <w:hideMark/>
          </w:tcPr>
          <w:p w14:paraId="4CA99F68" w14:textId="77777777" w:rsidR="003C2217" w:rsidRPr="00FD137E" w:rsidRDefault="003C2217" w:rsidP="001362A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lang w:eastAsia="hr-HR"/>
              </w:rPr>
            </w:pPr>
            <w:r w:rsidRPr="00FD137E">
              <w:rPr>
                <w:rFonts w:eastAsia="Times New Roman" w:cs="Times New Roman"/>
                <w:bCs/>
                <w:color w:val="000000"/>
                <w:lang w:eastAsia="hr-HR"/>
              </w:rPr>
              <w:t xml:space="preserve">UKUPNO: </w:t>
            </w:r>
          </w:p>
        </w:tc>
        <w:tc>
          <w:tcPr>
            <w:tcW w:w="2410" w:type="dxa"/>
            <w:noWrap/>
            <w:vAlign w:val="center"/>
            <w:hideMark/>
          </w:tcPr>
          <w:p w14:paraId="39B4AD3C" w14:textId="77777777" w:rsidR="003C2217" w:rsidRPr="00FD137E" w:rsidRDefault="007A56B0" w:rsidP="001362A5">
            <w:pPr>
              <w:contextualSpacing/>
              <w:jc w:val="center"/>
              <w:cnfStyle w:val="000000100000" w:firstRow="0" w:lastRow="0" w:firstColumn="0" w:lastColumn="0" w:oddVBand="0" w:evenVBand="0" w:oddHBand="1" w:evenHBand="0" w:firstRowFirstColumn="0" w:firstRowLastColumn="0" w:lastRowFirstColumn="0" w:lastRowLastColumn="0"/>
              <w:rPr>
                <w:color w:val="auto"/>
              </w:rPr>
            </w:pPr>
            <w:r w:rsidRPr="00FD137E">
              <w:rPr>
                <w:color w:val="auto"/>
              </w:rPr>
              <w:t>1.033</w:t>
            </w:r>
          </w:p>
        </w:tc>
        <w:tc>
          <w:tcPr>
            <w:tcW w:w="2693" w:type="dxa"/>
            <w:noWrap/>
            <w:vAlign w:val="center"/>
            <w:hideMark/>
          </w:tcPr>
          <w:p w14:paraId="7681C426" w14:textId="77777777" w:rsidR="003C2217" w:rsidRPr="00FD137E" w:rsidRDefault="006F5B93" w:rsidP="00AC2D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highlight w:val="yellow"/>
                <w:lang w:eastAsia="hr-HR"/>
              </w:rPr>
            </w:pPr>
            <w:r w:rsidRPr="00FD137E">
              <w:rPr>
                <w:rFonts w:eastAsia="Times New Roman" w:cs="Times New Roman"/>
                <w:bCs/>
                <w:color w:val="000000"/>
                <w:lang w:eastAsia="hr-HR"/>
              </w:rPr>
              <w:t>5.388</w:t>
            </w:r>
            <w:r w:rsidR="00AC2DC2" w:rsidRPr="00FD137E">
              <w:rPr>
                <w:rStyle w:val="FootnoteReference"/>
                <w:rFonts w:eastAsia="Times New Roman" w:cs="Times New Roman"/>
                <w:bCs/>
                <w:color w:val="000000"/>
                <w:lang w:eastAsia="hr-HR"/>
              </w:rPr>
              <w:footnoteReference w:id="11"/>
            </w:r>
          </w:p>
        </w:tc>
        <w:tc>
          <w:tcPr>
            <w:tcW w:w="2410" w:type="dxa"/>
            <w:noWrap/>
            <w:vAlign w:val="center"/>
            <w:hideMark/>
          </w:tcPr>
          <w:p w14:paraId="4D45079D" w14:textId="77777777" w:rsidR="003C2217" w:rsidRPr="00FD137E" w:rsidRDefault="00BA1CE0" w:rsidP="001362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highlight w:val="yellow"/>
                <w:lang w:eastAsia="hr-HR"/>
              </w:rPr>
            </w:pPr>
            <w:r w:rsidRPr="00FD137E">
              <w:rPr>
                <w:rFonts w:eastAsia="Times New Roman" w:cs="Times New Roman"/>
                <w:bCs/>
                <w:color w:val="000000"/>
                <w:lang w:eastAsia="hr-HR"/>
              </w:rPr>
              <w:t>23.035</w:t>
            </w:r>
          </w:p>
        </w:tc>
      </w:tr>
    </w:tbl>
    <w:p w14:paraId="3819C103" w14:textId="77777777" w:rsidR="003C2217" w:rsidRPr="00AB758C" w:rsidRDefault="003C2217">
      <w:pPr>
        <w:rPr>
          <w:rFonts w:ascii="Cambria" w:hAnsi="Cambria"/>
          <w:sz w:val="24"/>
          <w:szCs w:val="24"/>
        </w:rPr>
      </w:pPr>
    </w:p>
    <w:sectPr w:rsidR="003C2217" w:rsidRPr="00AB758C" w:rsidSect="003C22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3D46B" w14:textId="77777777" w:rsidR="009527CC" w:rsidRDefault="009527CC" w:rsidP="00E905FC">
      <w:pPr>
        <w:spacing w:after="0" w:line="240" w:lineRule="auto"/>
      </w:pPr>
      <w:r>
        <w:separator/>
      </w:r>
    </w:p>
  </w:endnote>
  <w:endnote w:type="continuationSeparator" w:id="0">
    <w:p w14:paraId="395C837A" w14:textId="77777777" w:rsidR="009527CC" w:rsidRDefault="009527CC" w:rsidP="00E90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890408"/>
      <w:docPartObj>
        <w:docPartGallery w:val="Page Numbers (Bottom of Page)"/>
        <w:docPartUnique/>
      </w:docPartObj>
    </w:sdtPr>
    <w:sdtEndPr>
      <w:rPr>
        <w:noProof/>
      </w:rPr>
    </w:sdtEndPr>
    <w:sdtContent>
      <w:p w14:paraId="73C65324" w14:textId="77777777" w:rsidR="001A5437" w:rsidRDefault="001A5437">
        <w:pPr>
          <w:pStyle w:val="Footer"/>
          <w:jc w:val="center"/>
        </w:pPr>
        <w:r>
          <w:fldChar w:fldCharType="begin"/>
        </w:r>
        <w:r>
          <w:instrText xml:space="preserve"> PAGE   \* MERGEFORMAT </w:instrText>
        </w:r>
        <w:r>
          <w:fldChar w:fldCharType="separate"/>
        </w:r>
        <w:r w:rsidR="005C668D">
          <w:rPr>
            <w:noProof/>
          </w:rPr>
          <w:t>21</w:t>
        </w:r>
        <w:r>
          <w:rPr>
            <w:noProof/>
          </w:rPr>
          <w:fldChar w:fldCharType="end"/>
        </w:r>
      </w:p>
    </w:sdtContent>
  </w:sdt>
  <w:p w14:paraId="1A707F2C" w14:textId="77777777" w:rsidR="001A5437" w:rsidRPr="006F1B67" w:rsidRDefault="001A5437" w:rsidP="001362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1FAFA" w14:textId="77777777" w:rsidR="009527CC" w:rsidRDefault="009527CC" w:rsidP="00E905FC">
      <w:pPr>
        <w:spacing w:after="0" w:line="240" w:lineRule="auto"/>
      </w:pPr>
      <w:r>
        <w:separator/>
      </w:r>
    </w:p>
  </w:footnote>
  <w:footnote w:type="continuationSeparator" w:id="0">
    <w:p w14:paraId="483305FB" w14:textId="77777777" w:rsidR="009527CC" w:rsidRDefault="009527CC" w:rsidP="00E905FC">
      <w:pPr>
        <w:spacing w:after="0" w:line="240" w:lineRule="auto"/>
      </w:pPr>
      <w:r>
        <w:continuationSeparator/>
      </w:r>
    </w:p>
  </w:footnote>
  <w:footnote w:id="1">
    <w:p w14:paraId="1FC2F197" w14:textId="3236B432" w:rsidR="001A5437" w:rsidRPr="00C06EFA" w:rsidRDefault="001A5437">
      <w:pPr>
        <w:pStyle w:val="FootnoteText"/>
        <w:rPr>
          <w:lang w:val="en-US"/>
        </w:rPr>
      </w:pPr>
      <w:r w:rsidRPr="00C06EFA">
        <w:rPr>
          <w:rStyle w:val="FootnoteReference"/>
        </w:rPr>
        <w:footnoteRef/>
      </w:r>
      <w:r w:rsidRPr="00C06EFA">
        <w:t xml:space="preserve"> OECD (2001.): Smjernice za informiranje, savjetovanje i sudjelovanje građana u oblikovanju javnih politika </w:t>
      </w:r>
    </w:p>
  </w:footnote>
  <w:footnote w:id="2">
    <w:p w14:paraId="2E0E4BCC" w14:textId="3C5EB350" w:rsidR="001A5437" w:rsidRPr="00F84F9A" w:rsidRDefault="001A5437">
      <w:pPr>
        <w:pStyle w:val="FootnoteText"/>
        <w:rPr>
          <w:rFonts w:ascii="Cambria" w:hAnsi="Cambria"/>
        </w:rPr>
      </w:pPr>
      <w:r w:rsidRPr="00170478">
        <w:rPr>
          <w:rStyle w:val="FootnoteReference"/>
        </w:rPr>
        <w:footnoteRef/>
      </w:r>
      <w:r w:rsidRPr="00170478">
        <w:t xml:space="preserve"> Ured za udruge Vlade RH (2010.): Smjernice za primjenu Kodeksa savjetovanja sa zainteresiranom javnošću u postupcima donošenja zakona, drugih propisa i akata</w:t>
      </w:r>
    </w:p>
  </w:footnote>
  <w:footnote w:id="3">
    <w:p w14:paraId="6CCBE769" w14:textId="6C693E14" w:rsidR="001A5437" w:rsidRDefault="001A5437">
      <w:pPr>
        <w:pStyle w:val="FootnoteText"/>
      </w:pPr>
      <w:r>
        <w:rPr>
          <w:rStyle w:val="FootnoteReference"/>
        </w:rPr>
        <w:footnoteRef/>
      </w:r>
      <w:r>
        <w:t xml:space="preserve"> </w:t>
      </w:r>
      <w:hyperlink r:id="rId1" w:history="1">
        <w:r w:rsidRPr="001F6481">
          <w:rPr>
            <w:rStyle w:val="Hyperlink"/>
          </w:rPr>
          <w:t>http://www.oecd.org/publications/better-regulation-practices-across-the-european-union-9789264311732-en.htm</w:t>
        </w:r>
      </w:hyperlink>
      <w:r>
        <w:t xml:space="preserve"> </w:t>
      </w:r>
    </w:p>
  </w:footnote>
  <w:footnote w:id="4">
    <w:p w14:paraId="219AF709" w14:textId="77777777" w:rsidR="001A5437" w:rsidRPr="000037B9" w:rsidRDefault="001A5437" w:rsidP="00CA2183">
      <w:pPr>
        <w:pStyle w:val="FootnoteText"/>
        <w:jc w:val="both"/>
      </w:pPr>
      <w:r w:rsidRPr="000037B9">
        <w:rPr>
          <w:rStyle w:val="FootnoteReference"/>
        </w:rPr>
        <w:footnoteRef/>
      </w:r>
      <w:r w:rsidRPr="000037B9">
        <w:t xml:space="preserve"> Podaci iz sustava e-Savjetovanja preuzeti su na dan 25.2.2019. </w:t>
      </w:r>
    </w:p>
  </w:footnote>
  <w:footnote w:id="5">
    <w:p w14:paraId="5103E03F" w14:textId="77777777" w:rsidR="001A5437" w:rsidRDefault="001A5437" w:rsidP="00CA2183">
      <w:pPr>
        <w:pStyle w:val="FootnoteText"/>
        <w:jc w:val="both"/>
      </w:pPr>
      <w:r w:rsidRPr="000037B9">
        <w:rPr>
          <w:rStyle w:val="FootnoteReference"/>
        </w:rPr>
        <w:footnoteRef/>
      </w:r>
      <w:r w:rsidRPr="000037B9">
        <w:t xml:space="preserve"> Iako je sukladno Zakonu o pravu na pristup informacijama propisano da su tijela državne uprave dužna provoditi savjetovanja putem središnjeg portala za savjetovanja, to ne isključuje i dodatne metode savjetovanja poput, javnih rasprava, savjetodavnih skupova i slično, kada je to potrebno radi uključivanja što većeg broja pravnih i fizičkih osoba u postupak savjetovanja.</w:t>
      </w:r>
    </w:p>
  </w:footnote>
  <w:footnote w:id="6">
    <w:p w14:paraId="537C5A61" w14:textId="0FD0BCAA" w:rsidR="001A5437" w:rsidRDefault="001A5437">
      <w:pPr>
        <w:pStyle w:val="FootnoteText"/>
      </w:pPr>
      <w:r>
        <w:rPr>
          <w:rStyle w:val="FootnoteReference"/>
        </w:rPr>
        <w:footnoteRef/>
      </w:r>
      <w:r>
        <w:t xml:space="preserve"> Ukupno su 43 tijela provodila savjetovanja putem portala e-Savjetovanja, dok je Hrvatska narodna banka provodila sva savjetovanja izvan portala e-Savjetovanja. Ured za udruge tražio podatke je o provedbi savjetovanja samo od središnjih tijela državne uprave. Također, do razlike u broju tijela koja su dostavila podatke o savjetovanjima i broju tijela koja su provodila savjetovanja u 2018.  došlo je i zbog spajanja određenih tijela od 1. siječnja 2019.</w:t>
      </w:r>
    </w:p>
  </w:footnote>
  <w:footnote w:id="7">
    <w:p w14:paraId="05E7D4E9" w14:textId="43C5AB2C" w:rsidR="001A5437" w:rsidRDefault="001A5437" w:rsidP="00EC70B8">
      <w:pPr>
        <w:pStyle w:val="FootnoteText"/>
      </w:pPr>
      <w:r>
        <w:rPr>
          <w:rStyle w:val="FootnoteReference"/>
        </w:rPr>
        <w:footnoteRef/>
      </w:r>
      <w:r>
        <w:t xml:space="preserve">Povjerenik za informiranje (2019.) Izvješće o provedbi Zakona o pravu na pristup informacijama za 2018. godinu </w:t>
      </w:r>
    </w:p>
  </w:footnote>
  <w:footnote w:id="8">
    <w:p w14:paraId="1CBEB1C5" w14:textId="77777777" w:rsidR="001A5437" w:rsidRDefault="001A5437">
      <w:pPr>
        <w:pStyle w:val="FootnoteText"/>
      </w:pPr>
      <w:r>
        <w:rPr>
          <w:rStyle w:val="FootnoteReference"/>
        </w:rPr>
        <w:footnoteRef/>
      </w:r>
      <w:r>
        <w:t xml:space="preserve"> </w:t>
      </w:r>
      <w:r w:rsidRPr="00DC69FD">
        <w:t>Podaci se odnose samo na savjetovanja provedena u sustavu e-Savjetovanja.</w:t>
      </w:r>
    </w:p>
  </w:footnote>
  <w:footnote w:id="9">
    <w:p w14:paraId="5AB6A716" w14:textId="4C4B0C1C" w:rsidR="001A5437" w:rsidRDefault="001A5437">
      <w:pPr>
        <w:pStyle w:val="FootnoteText"/>
      </w:pPr>
      <w:r>
        <w:rPr>
          <w:rStyle w:val="FootnoteReference"/>
        </w:rPr>
        <w:footnoteRef/>
      </w:r>
      <w:r>
        <w:t xml:space="preserve"> Podaci o broju komentara preuzeti su iz sustava e-Savjetovanja na dan 25.2.2019., dok su podaci za savjetovanja provedena izvan sustava e-Savjetovanja objedinjeni 7.3.2019.</w:t>
      </w:r>
    </w:p>
  </w:footnote>
  <w:footnote w:id="10">
    <w:p w14:paraId="2C34CCA3" w14:textId="77777777" w:rsidR="001A5437" w:rsidRDefault="001A5437">
      <w:pPr>
        <w:pStyle w:val="FootnoteText"/>
      </w:pPr>
      <w:r>
        <w:rPr>
          <w:rStyle w:val="FootnoteReference"/>
        </w:rPr>
        <w:footnoteRef/>
      </w:r>
      <w:r>
        <w:t xml:space="preserve"> Ministarstvo hrvatskih branitelja je tijekom 2018. objavilo izvješća za 8 savjetovanja koja su započela krajem 2017. te su se kao takva vodila kao savjetovanja iz 2017. </w:t>
      </w:r>
    </w:p>
  </w:footnote>
  <w:footnote w:id="11">
    <w:p w14:paraId="009B544C" w14:textId="77777777" w:rsidR="001A5437" w:rsidRDefault="001A5437" w:rsidP="00AC2DC2">
      <w:pPr>
        <w:pStyle w:val="FootnoteText"/>
      </w:pPr>
      <w:r>
        <w:rPr>
          <w:rStyle w:val="FootnoteReference"/>
        </w:rPr>
        <w:footnoteRef/>
      </w:r>
      <w:r>
        <w:t xml:space="preserve">  Broj podnositelja komentara u tablici veći je od ukupne navedene brojke jedinstvenih komentatora budući da sustav e-Savjetovanja bilježi u statistici svakog</w:t>
      </w:r>
    </w:p>
    <w:p w14:paraId="61FD9B3C" w14:textId="3F361E4A" w:rsidR="001A5437" w:rsidRDefault="001A5437" w:rsidP="00AC2DC2">
      <w:pPr>
        <w:pStyle w:val="FootnoteText"/>
      </w:pPr>
      <w:r>
        <w:t>novog komentatora na razini tijela javne vlasti, neovisno o tome je li već sudjelovao u savjetovanjima nekog drugog tijela.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0F1CE" w14:textId="77777777" w:rsidR="001A5437" w:rsidRDefault="001A5437">
    <w:pPr>
      <w:pStyle w:val="Header"/>
      <w:jc w:val="center"/>
    </w:pPr>
  </w:p>
  <w:p w14:paraId="68494560" w14:textId="77777777" w:rsidR="001A5437" w:rsidRDefault="001A54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9768A" w14:textId="6BB9515E" w:rsidR="001A5437" w:rsidRDefault="001A5437" w:rsidP="00E905F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5FC"/>
    <w:rsid w:val="000037B9"/>
    <w:rsid w:val="0001234B"/>
    <w:rsid w:val="00015400"/>
    <w:rsid w:val="0001584B"/>
    <w:rsid w:val="00016B55"/>
    <w:rsid w:val="00024BCC"/>
    <w:rsid w:val="000314DC"/>
    <w:rsid w:val="00031641"/>
    <w:rsid w:val="00036623"/>
    <w:rsid w:val="0005206E"/>
    <w:rsid w:val="000806A0"/>
    <w:rsid w:val="00093A1C"/>
    <w:rsid w:val="000B4AB7"/>
    <w:rsid w:val="000B56DC"/>
    <w:rsid w:val="000E47D2"/>
    <w:rsid w:val="000E7087"/>
    <w:rsid w:val="00100F29"/>
    <w:rsid w:val="0012496F"/>
    <w:rsid w:val="001309CA"/>
    <w:rsid w:val="001362A5"/>
    <w:rsid w:val="00170478"/>
    <w:rsid w:val="001830ED"/>
    <w:rsid w:val="001A1509"/>
    <w:rsid w:val="001A5437"/>
    <w:rsid w:val="001E352A"/>
    <w:rsid w:val="0020585E"/>
    <w:rsid w:val="002071B9"/>
    <w:rsid w:val="00220E77"/>
    <w:rsid w:val="0024481D"/>
    <w:rsid w:val="00247A95"/>
    <w:rsid w:val="00251049"/>
    <w:rsid w:val="002541F2"/>
    <w:rsid w:val="00257981"/>
    <w:rsid w:val="00261975"/>
    <w:rsid w:val="0029058F"/>
    <w:rsid w:val="00292819"/>
    <w:rsid w:val="00294317"/>
    <w:rsid w:val="002C07E1"/>
    <w:rsid w:val="002C1D70"/>
    <w:rsid w:val="002E1EF7"/>
    <w:rsid w:val="002F0417"/>
    <w:rsid w:val="003136AF"/>
    <w:rsid w:val="00313AD2"/>
    <w:rsid w:val="00333133"/>
    <w:rsid w:val="003525C7"/>
    <w:rsid w:val="0035438B"/>
    <w:rsid w:val="00361B50"/>
    <w:rsid w:val="0036575F"/>
    <w:rsid w:val="003A3F36"/>
    <w:rsid w:val="003B0B3F"/>
    <w:rsid w:val="003C2217"/>
    <w:rsid w:val="003D0115"/>
    <w:rsid w:val="003F13A9"/>
    <w:rsid w:val="00402BD1"/>
    <w:rsid w:val="00403E87"/>
    <w:rsid w:val="0041015B"/>
    <w:rsid w:val="00411F9F"/>
    <w:rsid w:val="00420D82"/>
    <w:rsid w:val="00443C57"/>
    <w:rsid w:val="00460A75"/>
    <w:rsid w:val="00463292"/>
    <w:rsid w:val="0046680F"/>
    <w:rsid w:val="004670C1"/>
    <w:rsid w:val="00470A89"/>
    <w:rsid w:val="004727BD"/>
    <w:rsid w:val="00480A92"/>
    <w:rsid w:val="00491CEF"/>
    <w:rsid w:val="004A3B4C"/>
    <w:rsid w:val="004D08A7"/>
    <w:rsid w:val="004E71D2"/>
    <w:rsid w:val="004F6D77"/>
    <w:rsid w:val="00500D11"/>
    <w:rsid w:val="00512F7D"/>
    <w:rsid w:val="00535BBC"/>
    <w:rsid w:val="00547642"/>
    <w:rsid w:val="0055060C"/>
    <w:rsid w:val="00556525"/>
    <w:rsid w:val="0058035C"/>
    <w:rsid w:val="00581E88"/>
    <w:rsid w:val="00587725"/>
    <w:rsid w:val="005A3B63"/>
    <w:rsid w:val="005B630C"/>
    <w:rsid w:val="005C2B7D"/>
    <w:rsid w:val="005C5839"/>
    <w:rsid w:val="005C668D"/>
    <w:rsid w:val="005D45BE"/>
    <w:rsid w:val="005E1162"/>
    <w:rsid w:val="005E366D"/>
    <w:rsid w:val="005F14A4"/>
    <w:rsid w:val="0060497E"/>
    <w:rsid w:val="006051E6"/>
    <w:rsid w:val="006221A0"/>
    <w:rsid w:val="00650040"/>
    <w:rsid w:val="00652908"/>
    <w:rsid w:val="006532A7"/>
    <w:rsid w:val="00660D63"/>
    <w:rsid w:val="006625FB"/>
    <w:rsid w:val="00680102"/>
    <w:rsid w:val="0068210F"/>
    <w:rsid w:val="00685F17"/>
    <w:rsid w:val="00690F17"/>
    <w:rsid w:val="006A32D9"/>
    <w:rsid w:val="006A7AA1"/>
    <w:rsid w:val="006B2424"/>
    <w:rsid w:val="006E0C81"/>
    <w:rsid w:val="006F25B8"/>
    <w:rsid w:val="006F5B93"/>
    <w:rsid w:val="007002BC"/>
    <w:rsid w:val="00706C9B"/>
    <w:rsid w:val="0071373D"/>
    <w:rsid w:val="00717E01"/>
    <w:rsid w:val="007446CF"/>
    <w:rsid w:val="00763061"/>
    <w:rsid w:val="00765768"/>
    <w:rsid w:val="00770E9C"/>
    <w:rsid w:val="00784A80"/>
    <w:rsid w:val="007965B4"/>
    <w:rsid w:val="007A56B0"/>
    <w:rsid w:val="007C0B87"/>
    <w:rsid w:val="007D7796"/>
    <w:rsid w:val="007E5F52"/>
    <w:rsid w:val="007F5755"/>
    <w:rsid w:val="008028F8"/>
    <w:rsid w:val="00805528"/>
    <w:rsid w:val="00810C22"/>
    <w:rsid w:val="00811D7A"/>
    <w:rsid w:val="00822529"/>
    <w:rsid w:val="00852C9C"/>
    <w:rsid w:val="00871385"/>
    <w:rsid w:val="00890629"/>
    <w:rsid w:val="00892C4B"/>
    <w:rsid w:val="008A1AEF"/>
    <w:rsid w:val="008C401F"/>
    <w:rsid w:val="008D373C"/>
    <w:rsid w:val="008F5BEE"/>
    <w:rsid w:val="00901C4A"/>
    <w:rsid w:val="00946193"/>
    <w:rsid w:val="009527CC"/>
    <w:rsid w:val="00963B4E"/>
    <w:rsid w:val="009963C7"/>
    <w:rsid w:val="009969E5"/>
    <w:rsid w:val="009A1487"/>
    <w:rsid w:val="009E2E38"/>
    <w:rsid w:val="009E4FA3"/>
    <w:rsid w:val="009F5494"/>
    <w:rsid w:val="009F774D"/>
    <w:rsid w:val="00A12A33"/>
    <w:rsid w:val="00A1351C"/>
    <w:rsid w:val="00A22899"/>
    <w:rsid w:val="00A27695"/>
    <w:rsid w:val="00A30A11"/>
    <w:rsid w:val="00A3639F"/>
    <w:rsid w:val="00A61EEA"/>
    <w:rsid w:val="00A6306B"/>
    <w:rsid w:val="00A824B9"/>
    <w:rsid w:val="00A9155C"/>
    <w:rsid w:val="00A92119"/>
    <w:rsid w:val="00AB758C"/>
    <w:rsid w:val="00AC2DC2"/>
    <w:rsid w:val="00AE0891"/>
    <w:rsid w:val="00AF75B7"/>
    <w:rsid w:val="00B0592A"/>
    <w:rsid w:val="00B21DD2"/>
    <w:rsid w:val="00B92A63"/>
    <w:rsid w:val="00BA1CE0"/>
    <w:rsid w:val="00BB6483"/>
    <w:rsid w:val="00BC0FED"/>
    <w:rsid w:val="00BC2DAF"/>
    <w:rsid w:val="00BE5093"/>
    <w:rsid w:val="00BF2A18"/>
    <w:rsid w:val="00BF6052"/>
    <w:rsid w:val="00C00D4A"/>
    <w:rsid w:val="00C06EFA"/>
    <w:rsid w:val="00C134E7"/>
    <w:rsid w:val="00C259E6"/>
    <w:rsid w:val="00C26553"/>
    <w:rsid w:val="00C305BC"/>
    <w:rsid w:val="00C532E6"/>
    <w:rsid w:val="00C610C8"/>
    <w:rsid w:val="00C73876"/>
    <w:rsid w:val="00C90731"/>
    <w:rsid w:val="00CA2183"/>
    <w:rsid w:val="00CC0FC5"/>
    <w:rsid w:val="00D03487"/>
    <w:rsid w:val="00D3616E"/>
    <w:rsid w:val="00D41A44"/>
    <w:rsid w:val="00D638A2"/>
    <w:rsid w:val="00D64A5F"/>
    <w:rsid w:val="00D7027C"/>
    <w:rsid w:val="00D71C98"/>
    <w:rsid w:val="00D94F06"/>
    <w:rsid w:val="00DA33C0"/>
    <w:rsid w:val="00DC69FD"/>
    <w:rsid w:val="00DD060D"/>
    <w:rsid w:val="00DE31CA"/>
    <w:rsid w:val="00DE7194"/>
    <w:rsid w:val="00E016E7"/>
    <w:rsid w:val="00E105BF"/>
    <w:rsid w:val="00E1416D"/>
    <w:rsid w:val="00E650B4"/>
    <w:rsid w:val="00E65188"/>
    <w:rsid w:val="00E676EF"/>
    <w:rsid w:val="00E70E3C"/>
    <w:rsid w:val="00E905FC"/>
    <w:rsid w:val="00E94792"/>
    <w:rsid w:val="00EA4AFA"/>
    <w:rsid w:val="00EB4EBC"/>
    <w:rsid w:val="00EC220C"/>
    <w:rsid w:val="00EC70B8"/>
    <w:rsid w:val="00ED4C46"/>
    <w:rsid w:val="00EE1905"/>
    <w:rsid w:val="00EE4B10"/>
    <w:rsid w:val="00F01225"/>
    <w:rsid w:val="00F069B4"/>
    <w:rsid w:val="00F2354D"/>
    <w:rsid w:val="00F242FE"/>
    <w:rsid w:val="00F25D43"/>
    <w:rsid w:val="00F27FDD"/>
    <w:rsid w:val="00F41BE3"/>
    <w:rsid w:val="00F434EC"/>
    <w:rsid w:val="00F52C47"/>
    <w:rsid w:val="00F5649E"/>
    <w:rsid w:val="00F83303"/>
    <w:rsid w:val="00F83A07"/>
    <w:rsid w:val="00F84F9A"/>
    <w:rsid w:val="00F97589"/>
    <w:rsid w:val="00FA6D6B"/>
    <w:rsid w:val="00FB0D46"/>
    <w:rsid w:val="00FD1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3694B"/>
  <w15:chartTrackingRefBased/>
  <w15:docId w15:val="{1ADCD572-4A69-4D78-A468-4C1F07A6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80F"/>
    <w:rPr>
      <w:lang w:val="hr-HR"/>
    </w:rPr>
  </w:style>
  <w:style w:type="paragraph" w:styleId="Heading1">
    <w:name w:val="heading 1"/>
    <w:basedOn w:val="Normal"/>
    <w:next w:val="Normal"/>
    <w:link w:val="Heading1Char"/>
    <w:uiPriority w:val="9"/>
    <w:qFormat/>
    <w:rsid w:val="000154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154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05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5FC"/>
    <w:rPr>
      <w:lang w:val="hr-HR"/>
    </w:rPr>
  </w:style>
  <w:style w:type="paragraph" w:styleId="Header">
    <w:name w:val="header"/>
    <w:basedOn w:val="Normal"/>
    <w:link w:val="HeaderChar"/>
    <w:uiPriority w:val="99"/>
    <w:unhideWhenUsed/>
    <w:rsid w:val="00E905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5FC"/>
    <w:rPr>
      <w:lang w:val="hr-HR"/>
    </w:rPr>
  </w:style>
  <w:style w:type="character" w:styleId="Hyperlink">
    <w:name w:val="Hyperlink"/>
    <w:basedOn w:val="DefaultParagraphFont"/>
    <w:uiPriority w:val="99"/>
    <w:unhideWhenUsed/>
    <w:rsid w:val="00717E01"/>
    <w:rPr>
      <w:color w:val="0563C1" w:themeColor="hyperlink"/>
      <w:u w:val="single"/>
    </w:rPr>
  </w:style>
  <w:style w:type="table" w:styleId="GridTable6Colorful-Accent1">
    <w:name w:val="Grid Table 6 Colorful Accent 1"/>
    <w:basedOn w:val="TableNormal"/>
    <w:uiPriority w:val="51"/>
    <w:rsid w:val="00F41BE3"/>
    <w:pPr>
      <w:spacing w:after="0" w:line="240" w:lineRule="auto"/>
    </w:pPr>
    <w:rPr>
      <w:color w:val="2E74B5" w:themeColor="accent1" w:themeShade="BF"/>
      <w:lang w:val="hr-HR"/>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noteText">
    <w:name w:val="footnote text"/>
    <w:basedOn w:val="Normal"/>
    <w:link w:val="FootnoteTextChar"/>
    <w:uiPriority w:val="99"/>
    <w:semiHidden/>
    <w:unhideWhenUsed/>
    <w:rsid w:val="003C22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2217"/>
    <w:rPr>
      <w:sz w:val="20"/>
      <w:szCs w:val="20"/>
      <w:lang w:val="hr-HR"/>
    </w:rPr>
  </w:style>
  <w:style w:type="character" w:styleId="FootnoteReference">
    <w:name w:val="footnote reference"/>
    <w:basedOn w:val="DefaultParagraphFont"/>
    <w:uiPriority w:val="99"/>
    <w:semiHidden/>
    <w:unhideWhenUsed/>
    <w:rsid w:val="003C2217"/>
    <w:rPr>
      <w:vertAlign w:val="superscript"/>
    </w:rPr>
  </w:style>
  <w:style w:type="table" w:styleId="GridTable4-Accent1">
    <w:name w:val="Grid Table 4 Accent 1"/>
    <w:basedOn w:val="TableNormal"/>
    <w:uiPriority w:val="49"/>
    <w:rsid w:val="005E366D"/>
    <w:pPr>
      <w:spacing w:after="0" w:line="240" w:lineRule="auto"/>
    </w:pPr>
    <w:rPr>
      <w:rFonts w:ascii="Calibri" w:eastAsia="Calibri" w:hAnsi="Calibri" w:cs="Times New Roman"/>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uiPriority w:val="9"/>
    <w:rsid w:val="00015400"/>
    <w:rPr>
      <w:rFonts w:asciiTheme="majorHAnsi" w:eastAsiaTheme="majorEastAsia" w:hAnsiTheme="majorHAnsi" w:cstheme="majorBidi"/>
      <w:color w:val="2E74B5" w:themeColor="accent1" w:themeShade="BF"/>
      <w:sz w:val="32"/>
      <w:szCs w:val="32"/>
      <w:lang w:val="hr-HR"/>
    </w:rPr>
  </w:style>
  <w:style w:type="character" w:customStyle="1" w:styleId="Heading2Char">
    <w:name w:val="Heading 2 Char"/>
    <w:basedOn w:val="DefaultParagraphFont"/>
    <w:link w:val="Heading2"/>
    <w:uiPriority w:val="9"/>
    <w:rsid w:val="00015400"/>
    <w:rPr>
      <w:rFonts w:asciiTheme="majorHAnsi" w:eastAsiaTheme="majorEastAsia" w:hAnsiTheme="majorHAnsi" w:cstheme="majorBidi"/>
      <w:color w:val="2E74B5" w:themeColor="accent1" w:themeShade="BF"/>
      <w:sz w:val="26"/>
      <w:szCs w:val="26"/>
      <w:lang w:val="hr-HR"/>
    </w:rPr>
  </w:style>
  <w:style w:type="paragraph" w:styleId="TOCHeading">
    <w:name w:val="TOC Heading"/>
    <w:basedOn w:val="Heading1"/>
    <w:next w:val="Normal"/>
    <w:uiPriority w:val="39"/>
    <w:unhideWhenUsed/>
    <w:qFormat/>
    <w:rsid w:val="005C2B7D"/>
    <w:pPr>
      <w:outlineLvl w:val="9"/>
    </w:pPr>
    <w:rPr>
      <w:lang w:val="en-US"/>
    </w:rPr>
  </w:style>
  <w:style w:type="paragraph" w:styleId="TOC1">
    <w:name w:val="toc 1"/>
    <w:basedOn w:val="Normal"/>
    <w:next w:val="Normal"/>
    <w:autoRedefine/>
    <w:uiPriority w:val="39"/>
    <w:unhideWhenUsed/>
    <w:rsid w:val="005C2B7D"/>
    <w:pPr>
      <w:spacing w:after="100"/>
    </w:pPr>
  </w:style>
  <w:style w:type="paragraph" w:styleId="TOC2">
    <w:name w:val="toc 2"/>
    <w:basedOn w:val="Normal"/>
    <w:next w:val="Normal"/>
    <w:autoRedefine/>
    <w:uiPriority w:val="39"/>
    <w:unhideWhenUsed/>
    <w:rsid w:val="005C2B7D"/>
    <w:pPr>
      <w:spacing w:after="100"/>
      <w:ind w:left="220"/>
    </w:pPr>
  </w:style>
  <w:style w:type="character" w:styleId="CommentReference">
    <w:name w:val="annotation reference"/>
    <w:basedOn w:val="DefaultParagraphFont"/>
    <w:uiPriority w:val="99"/>
    <w:semiHidden/>
    <w:unhideWhenUsed/>
    <w:rsid w:val="006F25B8"/>
    <w:rPr>
      <w:sz w:val="16"/>
      <w:szCs w:val="16"/>
    </w:rPr>
  </w:style>
  <w:style w:type="paragraph" w:styleId="CommentText">
    <w:name w:val="annotation text"/>
    <w:basedOn w:val="Normal"/>
    <w:link w:val="CommentTextChar"/>
    <w:uiPriority w:val="99"/>
    <w:semiHidden/>
    <w:unhideWhenUsed/>
    <w:rsid w:val="006F25B8"/>
    <w:pPr>
      <w:spacing w:line="240" w:lineRule="auto"/>
    </w:pPr>
    <w:rPr>
      <w:sz w:val="20"/>
      <w:szCs w:val="20"/>
    </w:rPr>
  </w:style>
  <w:style w:type="character" w:customStyle="1" w:styleId="CommentTextChar">
    <w:name w:val="Comment Text Char"/>
    <w:basedOn w:val="DefaultParagraphFont"/>
    <w:link w:val="CommentText"/>
    <w:uiPriority w:val="99"/>
    <w:semiHidden/>
    <w:rsid w:val="006F25B8"/>
    <w:rPr>
      <w:sz w:val="20"/>
      <w:szCs w:val="20"/>
      <w:lang w:val="hr-HR"/>
    </w:rPr>
  </w:style>
  <w:style w:type="paragraph" w:styleId="CommentSubject">
    <w:name w:val="annotation subject"/>
    <w:basedOn w:val="CommentText"/>
    <w:next w:val="CommentText"/>
    <w:link w:val="CommentSubjectChar"/>
    <w:uiPriority w:val="99"/>
    <w:semiHidden/>
    <w:unhideWhenUsed/>
    <w:rsid w:val="006F25B8"/>
    <w:rPr>
      <w:b/>
      <w:bCs/>
    </w:rPr>
  </w:style>
  <w:style w:type="character" w:customStyle="1" w:styleId="CommentSubjectChar">
    <w:name w:val="Comment Subject Char"/>
    <w:basedOn w:val="CommentTextChar"/>
    <w:link w:val="CommentSubject"/>
    <w:uiPriority w:val="99"/>
    <w:semiHidden/>
    <w:rsid w:val="006F25B8"/>
    <w:rPr>
      <w:b/>
      <w:bCs/>
      <w:sz w:val="20"/>
      <w:szCs w:val="20"/>
      <w:lang w:val="hr-HR"/>
    </w:rPr>
  </w:style>
  <w:style w:type="paragraph" w:styleId="BalloonText">
    <w:name w:val="Balloon Text"/>
    <w:basedOn w:val="Normal"/>
    <w:link w:val="BalloonTextChar"/>
    <w:uiPriority w:val="99"/>
    <w:semiHidden/>
    <w:unhideWhenUsed/>
    <w:rsid w:val="006F2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B8"/>
    <w:rPr>
      <w:rFonts w:ascii="Segoe UI" w:hAnsi="Segoe UI" w:cs="Segoe UI"/>
      <w:sz w:val="18"/>
      <w:szCs w:val="18"/>
      <w:lang w:val="hr-HR"/>
    </w:rPr>
  </w:style>
  <w:style w:type="paragraph" w:styleId="Revision">
    <w:name w:val="Revision"/>
    <w:hidden/>
    <w:uiPriority w:val="99"/>
    <w:semiHidden/>
    <w:rsid w:val="00EC70B8"/>
    <w:pPr>
      <w:spacing w:after="0" w:line="240" w:lineRule="auto"/>
    </w:pPr>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chart" Target="charts/chart5.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_rels/footnotes.xml.rels><?xml version="1.0" encoding="UTF-8" standalone="yes"?>
<Relationships xmlns="http://schemas.openxmlformats.org/package/2006/relationships"><Relationship Id="rId1" Type="http://schemas.openxmlformats.org/officeDocument/2006/relationships/hyperlink" Target="http://www.oecd.org/publications/better-regulation-practices-across-the-european-union-9789264311732-en.h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521241007120602"/>
          <c:y val="5.0749711649365627E-2"/>
          <c:w val="0.87190667469218452"/>
          <c:h val="0.89850057670126871"/>
        </c:manualLayout>
      </c:layout>
      <c:barChart>
        <c:barDir val="bar"/>
        <c:grouping val="clustered"/>
        <c:varyColors val="0"/>
        <c:ser>
          <c:idx val="0"/>
          <c:order val="0"/>
          <c:tx>
            <c:strRef>
              <c:f>Sheet1!$B$1</c:f>
              <c:strCache>
                <c:ptCount val="1"/>
                <c:pt idx="0">
                  <c:v>Column1</c:v>
                </c:pt>
              </c:strCache>
            </c:strRef>
          </c:tx>
          <c:spPr>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a:noFill/>
            </a:ln>
            <a:effectLst>
              <a:outerShdw blurRad="57150" dist="19050" dir="5400000" algn="ctr" rotWithShape="0">
                <a:srgbClr val="000000">
                  <a:alpha val="63000"/>
                </a:srgbClr>
              </a:outerShdw>
            </a:effectLst>
          </c:spPr>
          <c:invertIfNegative val="0"/>
          <c:dLbls>
            <c:spPr>
              <a:solidFill>
                <a:sysClr val="window" lastClr="FFFFFF"/>
              </a:solidFill>
              <a:ln w="28575">
                <a:solidFill>
                  <a:srgbClr val="FFC000"/>
                </a:solid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sr-Latn-R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2012.</c:v>
                </c:pt>
                <c:pt idx="1">
                  <c:v>2013.</c:v>
                </c:pt>
                <c:pt idx="2">
                  <c:v>2014.</c:v>
                </c:pt>
                <c:pt idx="3">
                  <c:v>2015.</c:v>
                </c:pt>
                <c:pt idx="4">
                  <c:v>2016.</c:v>
                </c:pt>
                <c:pt idx="5">
                  <c:v>2017.</c:v>
                </c:pt>
                <c:pt idx="6">
                  <c:v>2018.</c:v>
                </c:pt>
              </c:strCache>
            </c:strRef>
          </c:cat>
          <c:val>
            <c:numRef>
              <c:f>Sheet1!$B$2:$B$8</c:f>
              <c:numCache>
                <c:formatCode>General</c:formatCode>
                <c:ptCount val="7"/>
                <c:pt idx="0">
                  <c:v>144</c:v>
                </c:pt>
                <c:pt idx="1">
                  <c:v>374</c:v>
                </c:pt>
                <c:pt idx="2">
                  <c:v>544</c:v>
                </c:pt>
                <c:pt idx="3">
                  <c:v>608</c:v>
                </c:pt>
                <c:pt idx="4">
                  <c:v>642</c:v>
                </c:pt>
                <c:pt idx="5">
                  <c:v>706</c:v>
                </c:pt>
                <c:pt idx="6">
                  <c:v>1033</c:v>
                </c:pt>
              </c:numCache>
            </c:numRef>
          </c:val>
          <c:extLst xmlns:c16r2="http://schemas.microsoft.com/office/drawing/2015/06/chart">
            <c:ext xmlns:c16="http://schemas.microsoft.com/office/drawing/2014/chart" uri="{C3380CC4-5D6E-409C-BE32-E72D297353CC}">
              <c16:uniqueId val="{00000000-814D-40AA-8AE5-1CB720BEE2FF}"/>
            </c:ext>
          </c:extLst>
        </c:ser>
        <c:dLbls>
          <c:dLblPos val="ctr"/>
          <c:showLegendKey val="0"/>
          <c:showVal val="1"/>
          <c:showCatName val="0"/>
          <c:showSerName val="0"/>
          <c:showPercent val="0"/>
          <c:showBubbleSize val="0"/>
        </c:dLbls>
        <c:gapWidth val="150"/>
        <c:axId val="-1434788720"/>
        <c:axId val="-1434793072"/>
      </c:barChart>
      <c:catAx>
        <c:axId val="-1434788720"/>
        <c:scaling>
          <c:orientation val="minMax"/>
        </c:scaling>
        <c:delete val="0"/>
        <c:axPos val="l"/>
        <c:numFmt formatCode="General" sourceLinked="0"/>
        <c:majorTickMark val="none"/>
        <c:minorTickMark val="none"/>
        <c:tickLblPos val="nextTo"/>
        <c:spPr>
          <a:noFill/>
          <a:ln w="19050" cap="flat" cmpd="sng" algn="ctr">
            <a:noFill/>
            <a:round/>
          </a:ln>
          <a:effectLst/>
        </c:spPr>
        <c:txPr>
          <a:bodyPr rot="-6000000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sr-Latn-RS"/>
          </a:p>
        </c:txPr>
        <c:crossAx val="-1434793072"/>
        <c:crosses val="autoZero"/>
        <c:auto val="1"/>
        <c:lblAlgn val="ctr"/>
        <c:lblOffset val="100"/>
        <c:noMultiLvlLbl val="0"/>
      </c:catAx>
      <c:valAx>
        <c:axId val="-1434793072"/>
        <c:scaling>
          <c:orientation val="minMax"/>
          <c:max val="1300"/>
          <c:min val="0"/>
        </c:scaling>
        <c:delete val="1"/>
        <c:axPos val="b"/>
        <c:numFmt formatCode="General" sourceLinked="1"/>
        <c:majorTickMark val="out"/>
        <c:minorTickMark val="none"/>
        <c:tickLblPos val="nextTo"/>
        <c:crossAx val="-1434788720"/>
        <c:crosses val="autoZero"/>
        <c:crossBetween val="between"/>
      </c:valAx>
      <c:spPr>
        <a:noFill/>
        <a:ln>
          <a:noFill/>
        </a:ln>
        <a:effectLst/>
      </c:spPr>
    </c:plotArea>
    <c:plotVisOnly val="1"/>
    <c:dispBlanksAs val="gap"/>
    <c:showDLblsOverMax val="0"/>
  </c:chart>
  <c:spPr>
    <a:solidFill>
      <a:sysClr val="window" lastClr="FFFFFF"/>
    </a:solidFill>
    <a:ln w="9525" cap="flat" cmpd="sng" algn="ctr">
      <a:solidFill>
        <a:schemeClr val="tx1">
          <a:lumMod val="15000"/>
          <a:lumOff val="85000"/>
        </a:schemeClr>
      </a:solidFill>
      <a:round/>
    </a:ln>
    <a:effectLst>
      <a:outerShdw blurRad="50800" dist="38100" dir="5400000" algn="t" rotWithShape="0">
        <a:prstClr val="black">
          <a:alpha val="40000"/>
        </a:prstClr>
      </a:outerShdw>
    </a:effectLst>
  </c:spPr>
  <c:txPr>
    <a:bodyPr/>
    <a:lstStyle/>
    <a:p>
      <a:pPr>
        <a:defRPr/>
      </a:pPr>
      <a:endParaRPr lang="sr-Latn-R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334356252017701"/>
          <c:y val="0"/>
          <c:w val="0.553874234174764"/>
          <c:h val="0.96690006365372405"/>
        </c:manualLayout>
      </c:layout>
      <c:doughnutChart>
        <c:varyColors val="1"/>
        <c:ser>
          <c:idx val="0"/>
          <c:order val="0"/>
          <c:tx>
            <c:strRef>
              <c:f>Sheet1!$B$1</c:f>
              <c:strCache>
                <c:ptCount val="1"/>
                <c:pt idx="0">
                  <c:v>Vrste propisa</c:v>
                </c:pt>
              </c:strCache>
            </c:strRef>
          </c:tx>
          <c:spPr>
            <a:ln w="28575">
              <a:solidFill>
                <a:schemeClr val="bg1"/>
              </a:solidFill>
            </a:ln>
          </c:spPr>
          <c:dPt>
            <c:idx val="0"/>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1-48AC-4930-9365-2B164AC7858F}"/>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3-48AC-4930-9365-2B164AC7858F}"/>
              </c:ext>
            </c:extLst>
          </c:dPt>
          <c:dPt>
            <c:idx val="2"/>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5-48AC-4930-9365-2B164AC7858F}"/>
              </c:ext>
            </c:extLst>
          </c:dPt>
          <c:dPt>
            <c:idx val="3"/>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7-48AC-4930-9365-2B164AC7858F}"/>
              </c:ext>
            </c:extLst>
          </c:dPt>
          <c:dPt>
            <c:idx val="4"/>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9-48AC-4930-9365-2B164AC7858F}"/>
              </c:ext>
            </c:extLst>
          </c:dPt>
          <c:dPt>
            <c:idx val="5"/>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B-48AC-4930-9365-2B164AC7858F}"/>
              </c:ext>
            </c:extLst>
          </c:dPt>
          <c:dLbls>
            <c:spPr>
              <a:noFill/>
              <a:ln>
                <a:noFill/>
              </a:ln>
              <a:effectLst/>
            </c:spPr>
            <c:txPr>
              <a:bodyPr/>
              <a:lstStyle/>
              <a:p>
                <a:pPr>
                  <a:defRPr sz="1100" b="1">
                    <a:solidFill>
                      <a:schemeClr val="bg1"/>
                    </a:solidFill>
                    <a:effectLst/>
                  </a:defRPr>
                </a:pPr>
                <a:endParaRPr lang="sr-Latn-R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Sheet1!$A$2:$A$7</c:f>
              <c:strCache>
                <c:ptCount val="6"/>
                <c:pt idx="0">
                  <c:v>Zakoni</c:v>
                </c:pt>
                <c:pt idx="1">
                  <c:v>Pravilnici</c:v>
                </c:pt>
                <c:pt idx="2">
                  <c:v>Uredbe</c:v>
                </c:pt>
                <c:pt idx="3">
                  <c:v>Strateški dokumenti</c:v>
                </c:pt>
                <c:pt idx="4">
                  <c:v>Procjena učinaka propisa</c:v>
                </c:pt>
                <c:pt idx="5">
                  <c:v>Ostalo</c:v>
                </c:pt>
              </c:strCache>
            </c:strRef>
          </c:cat>
          <c:val>
            <c:numRef>
              <c:f>Sheet1!$B$2:$B$7</c:f>
              <c:numCache>
                <c:formatCode>0</c:formatCode>
                <c:ptCount val="6"/>
                <c:pt idx="0">
                  <c:v>22.1</c:v>
                </c:pt>
                <c:pt idx="1">
                  <c:v>37.299999999999997</c:v>
                </c:pt>
                <c:pt idx="2">
                  <c:v>5.2</c:v>
                </c:pt>
                <c:pt idx="3">
                  <c:v>2.5</c:v>
                </c:pt>
                <c:pt idx="4">
                  <c:v>17.2</c:v>
                </c:pt>
                <c:pt idx="5">
                  <c:v>15.6</c:v>
                </c:pt>
              </c:numCache>
            </c:numRef>
          </c:val>
          <c:extLst xmlns:c16r2="http://schemas.microsoft.com/office/drawing/2015/06/chart">
            <c:ext xmlns:c16="http://schemas.microsoft.com/office/drawing/2014/chart" uri="{C3380CC4-5D6E-409C-BE32-E72D297353CC}">
              <c16:uniqueId val="{0000000C-48AC-4930-9365-2B164AC7858F}"/>
            </c:ext>
          </c:extLst>
        </c:ser>
        <c:ser>
          <c:idx val="1"/>
          <c:order val="1"/>
          <c:tx>
            <c:v>Labels</c:v>
          </c:tx>
          <c:spPr>
            <a:noFill/>
            <a:ln>
              <a:noFill/>
            </a:ln>
          </c:spPr>
          <c:dLbls>
            <c:dLbl>
              <c:idx val="0"/>
              <c:layout>
                <c:manualLayout>
                  <c:x val="2.7488823759808677E-2"/>
                  <c:y val="4.3238104222370934E-2"/>
                </c:manualLayout>
              </c:layout>
              <c:tx>
                <c:rich>
                  <a:bodyPr rot="0" vert="horz" anchor="b" anchorCtr="0"/>
                  <a:lstStyle/>
                  <a:p>
                    <a:pPr>
                      <a:defRPr sz="1050" b="1" cap="none" baseline="0">
                        <a:solidFill>
                          <a:schemeClr val="accent5"/>
                        </a:solidFill>
                      </a:defRPr>
                    </a:pPr>
                    <a:r>
                      <a:rPr lang="en-US" sz="1050">
                        <a:solidFill>
                          <a:schemeClr val="accent5"/>
                        </a:solidFill>
                      </a:rPr>
                      <a:t>Zakoni</a:t>
                    </a:r>
                  </a:p>
                </c:rich>
              </c:tx>
              <c:numFmt formatCode="@" sourceLinked="0"/>
              <c:spPr>
                <a:noFill/>
                <a:ln>
                  <a:noFill/>
                </a:ln>
                <a:effectLst/>
              </c:spPr>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D-48AC-4930-9365-2B164AC7858F}"/>
                </c:ext>
                <c:ext xmlns:c15="http://schemas.microsoft.com/office/drawing/2012/chart" uri="{CE6537A1-D6FC-4f65-9D91-7224C49458BB}"/>
              </c:extLst>
            </c:dLbl>
            <c:dLbl>
              <c:idx val="1"/>
              <c:layout>
                <c:manualLayout>
                  <c:x val="5.2943639334962982E-2"/>
                  <c:y val="-5.7186108007558585E-2"/>
                </c:manualLayout>
              </c:layout>
              <c:numFmt formatCode="@" sourceLinked="0"/>
              <c:spPr>
                <a:noFill/>
                <a:ln>
                  <a:noFill/>
                </a:ln>
                <a:effectLst/>
              </c:spPr>
              <c:txPr>
                <a:bodyPr rot="0" vert="horz" anchor="b" anchorCtr="0"/>
                <a:lstStyle/>
                <a:p>
                  <a:pPr>
                    <a:defRPr sz="1050" b="1" cap="none" baseline="0">
                      <a:solidFill>
                        <a:schemeClr val="accent2"/>
                      </a:solidFill>
                    </a:defRPr>
                  </a:pPr>
                  <a:endParaRPr lang="sr-Latn-RS"/>
                </a:p>
              </c:txPr>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E-48AC-4930-9365-2B164AC7858F}"/>
                </c:ext>
                <c:ext xmlns:c15="http://schemas.microsoft.com/office/drawing/2012/chart" uri="{CE6537A1-D6FC-4f65-9D91-7224C49458BB}"/>
              </c:extLst>
            </c:dLbl>
            <c:dLbl>
              <c:idx val="2"/>
              <c:layout>
                <c:manualLayout>
                  <c:x val="-1.296967220864112E-2"/>
                  <c:y val="-2.7234778917330341E-2"/>
                </c:manualLayout>
              </c:layout>
              <c:numFmt formatCode="@" sourceLinked="0"/>
              <c:spPr>
                <a:noFill/>
                <a:ln>
                  <a:noFill/>
                </a:ln>
                <a:effectLst/>
              </c:spPr>
              <c:txPr>
                <a:bodyPr rot="0" vert="horz" anchor="b" anchorCtr="0"/>
                <a:lstStyle/>
                <a:p>
                  <a:pPr>
                    <a:defRPr sz="1050" b="1" cap="none" baseline="0">
                      <a:solidFill>
                        <a:schemeClr val="accent6"/>
                      </a:solidFill>
                    </a:defRPr>
                  </a:pPr>
                  <a:endParaRPr lang="sr-Latn-RS"/>
                </a:p>
              </c:txPr>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F-48AC-4930-9365-2B164AC7858F}"/>
                </c:ext>
                <c:ext xmlns:c15="http://schemas.microsoft.com/office/drawing/2012/chart" uri="{CE6537A1-D6FC-4f65-9D91-7224C49458BB}"/>
              </c:extLst>
            </c:dLbl>
            <c:dLbl>
              <c:idx val="3"/>
              <c:layout>
                <c:manualLayout>
                  <c:x val="-8.416983495630799E-2"/>
                  <c:y val="-2.4335307487537476E-2"/>
                </c:manualLayout>
              </c:layout>
              <c:numFmt formatCode="@" sourceLinked="0"/>
              <c:spPr>
                <a:noFill/>
                <a:ln>
                  <a:noFill/>
                </a:ln>
                <a:effectLst/>
              </c:spPr>
              <c:txPr>
                <a:bodyPr rot="0" vert="horz" anchor="b" anchorCtr="0"/>
                <a:lstStyle/>
                <a:p>
                  <a:pPr>
                    <a:defRPr sz="1050" b="1" cap="none" baseline="0">
                      <a:solidFill>
                        <a:schemeClr val="accent1"/>
                      </a:solidFill>
                    </a:defRPr>
                  </a:pPr>
                  <a:endParaRPr lang="sr-Latn-RS"/>
                </a:p>
              </c:txPr>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10-48AC-4930-9365-2B164AC7858F}"/>
                </c:ext>
                <c:ext xmlns:c15="http://schemas.microsoft.com/office/drawing/2012/chart" uri="{CE6537A1-D6FC-4f65-9D91-7224C49458BB}">
                  <c15:layout>
                    <c:manualLayout>
                      <c:w val="0.20290531597358216"/>
                      <c:h val="5.8554848371396469E-2"/>
                    </c:manualLayout>
                  </c15:layout>
                </c:ext>
              </c:extLst>
            </c:dLbl>
            <c:dLbl>
              <c:idx val="4"/>
              <c:layout>
                <c:manualLayout>
                  <c:x val="-5.4853942525722343E-2"/>
                  <c:y val="2.7084522761808252E-2"/>
                </c:manualLayout>
              </c:layout>
              <c:numFmt formatCode="@" sourceLinked="0"/>
              <c:spPr>
                <a:noFill/>
                <a:ln>
                  <a:noFill/>
                </a:ln>
                <a:effectLst/>
              </c:spPr>
              <c:txPr>
                <a:bodyPr rot="0" vert="horz" anchor="b" anchorCtr="0"/>
                <a:lstStyle/>
                <a:p>
                  <a:pPr>
                    <a:defRPr sz="1050" b="1" cap="none" baseline="0">
                      <a:solidFill>
                        <a:schemeClr val="accent4"/>
                      </a:solidFill>
                    </a:defRPr>
                  </a:pPr>
                  <a:endParaRPr lang="sr-Latn-RS"/>
                </a:p>
              </c:txPr>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11-48AC-4930-9365-2B164AC7858F}"/>
                </c:ext>
                <c:ext xmlns:c15="http://schemas.microsoft.com/office/drawing/2012/chart" uri="{CE6537A1-D6FC-4f65-9D91-7224C49458BB}">
                  <c15:layout>
                    <c:manualLayout>
                      <c:w val="0.21690557911030353"/>
                      <c:h val="0.14568715929739551"/>
                    </c:manualLayout>
                  </c15:layout>
                </c:ext>
              </c:extLst>
            </c:dLbl>
            <c:dLbl>
              <c:idx val="5"/>
              <c:layout>
                <c:manualLayout>
                  <c:x val="-2.7656973838819819E-3"/>
                  <c:y val="3.7439161362785474E-3"/>
                </c:manualLayout>
              </c:layout>
              <c:numFmt formatCode="@" sourceLinked="0"/>
              <c:spPr>
                <a:noFill/>
                <a:ln>
                  <a:noFill/>
                </a:ln>
                <a:effectLst/>
              </c:spPr>
              <c:txPr>
                <a:bodyPr rot="0" vert="horz" anchor="b" anchorCtr="0"/>
                <a:lstStyle/>
                <a:p>
                  <a:pPr>
                    <a:defRPr sz="1050" b="1" cap="none" baseline="0">
                      <a:solidFill>
                        <a:schemeClr val="accent3"/>
                      </a:solidFill>
                    </a:defRPr>
                  </a:pPr>
                  <a:endParaRPr lang="sr-Latn-RS"/>
                </a:p>
              </c:txPr>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12-48AC-4930-9365-2B164AC7858F}"/>
                </c:ext>
                <c:ext xmlns:c15="http://schemas.microsoft.com/office/drawing/2012/chart" uri="{CE6537A1-D6FC-4f65-9D91-7224C49458BB}"/>
              </c:extLst>
            </c:dLbl>
            <c:numFmt formatCode="@" sourceLinked="0"/>
            <c:spPr>
              <a:noFill/>
              <a:ln>
                <a:noFill/>
              </a:ln>
              <a:effectLst/>
            </c:spPr>
            <c:txPr>
              <a:bodyPr rot="0" vert="horz" anchor="b" anchorCtr="0"/>
              <a:lstStyle/>
              <a:p>
                <a:pPr>
                  <a:defRPr sz="1050" b="1" cap="none" baseline="0">
                    <a:solidFill>
                      <a:srgbClr val="424242"/>
                    </a:solidFill>
                  </a:defRPr>
                </a:pPr>
                <a:endParaRPr lang="sr-Latn-RS"/>
              </a:p>
            </c:txPr>
            <c:showLegendKey val="0"/>
            <c:showVal val="0"/>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Sheet1!$A$2:$A$7</c:f>
              <c:strCache>
                <c:ptCount val="6"/>
                <c:pt idx="0">
                  <c:v>Zakoni</c:v>
                </c:pt>
                <c:pt idx="1">
                  <c:v>Pravilnici</c:v>
                </c:pt>
                <c:pt idx="2">
                  <c:v>Uredbe</c:v>
                </c:pt>
                <c:pt idx="3">
                  <c:v>Strateški dokumenti</c:v>
                </c:pt>
                <c:pt idx="4">
                  <c:v>Procjena učinaka propisa</c:v>
                </c:pt>
                <c:pt idx="5">
                  <c:v>Ostalo</c:v>
                </c:pt>
              </c:strCache>
            </c:strRef>
          </c:cat>
          <c:val>
            <c:numRef>
              <c:f>Sheet1!$GL$2:$GL$7</c:f>
              <c:numCache>
                <c:formatCode>General</c:formatCode>
                <c:ptCount val="6"/>
                <c:pt idx="0">
                  <c:v>22.1</c:v>
                </c:pt>
                <c:pt idx="1">
                  <c:v>37.299999999999997</c:v>
                </c:pt>
                <c:pt idx="2">
                  <c:v>5.2</c:v>
                </c:pt>
                <c:pt idx="3">
                  <c:v>2.5</c:v>
                </c:pt>
                <c:pt idx="4">
                  <c:v>17.2</c:v>
                </c:pt>
                <c:pt idx="5">
                  <c:v>15.6</c:v>
                </c:pt>
              </c:numCache>
            </c:numRef>
          </c:val>
          <c:extLst xmlns:c16r2="http://schemas.microsoft.com/office/drawing/2015/06/chart">
            <c:ext xmlns:c16="http://schemas.microsoft.com/office/drawing/2014/chart" uri="{C3380CC4-5D6E-409C-BE32-E72D297353CC}">
              <c16:uniqueId val="{00000013-48AC-4930-9365-2B164AC7858F}"/>
            </c:ext>
          </c:extLst>
        </c:ser>
        <c:dLbls>
          <c:showLegendKey val="0"/>
          <c:showVal val="0"/>
          <c:showCatName val="0"/>
          <c:showSerName val="0"/>
          <c:showPercent val="1"/>
          <c:showBubbleSize val="0"/>
          <c:showLeaderLines val="1"/>
        </c:dLbls>
        <c:firstSliceAng val="0"/>
        <c:holeSize val="40"/>
      </c:doughnutChart>
    </c:plotArea>
    <c:plotVisOnly val="1"/>
    <c:dispBlanksAs val="gap"/>
    <c:showDLblsOverMax val="0"/>
  </c:chart>
  <c:spPr>
    <a:solidFill>
      <a:schemeClr val="bg1"/>
    </a:solidFill>
    <a:ln>
      <a:solidFill>
        <a:schemeClr val="bg1">
          <a:lumMod val="85000"/>
        </a:schemeClr>
      </a:solidFill>
    </a:ln>
    <a:effectLst>
      <a:outerShdw blurRad="50800" dist="38100" dir="5400000" algn="t" rotWithShape="0">
        <a:prstClr val="black">
          <a:alpha val="40000"/>
        </a:prstClr>
      </a:outerShdw>
    </a:effectLst>
  </c:spPr>
  <c:txPr>
    <a:bodyPr/>
    <a:lstStyle/>
    <a:p>
      <a:pPr>
        <a:defRPr sz="1800"/>
      </a:pPr>
      <a:endParaRPr lang="sr-Latn-R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3269034882090118"/>
          <c:y val="2.356926054634232E-2"/>
          <c:w val="0.52049031275670687"/>
          <c:h val="0.95774854958772615"/>
        </c:manualLayout>
      </c:layout>
      <c:barChart>
        <c:barDir val="bar"/>
        <c:grouping val="clustered"/>
        <c:varyColors val="0"/>
        <c:ser>
          <c:idx val="0"/>
          <c:order val="0"/>
          <c:tx>
            <c:strRef>
              <c:f>Sheet1!$B$1</c:f>
              <c:strCache>
                <c:ptCount val="1"/>
                <c:pt idx="0">
                  <c:v>Sastav radnih skupina</c:v>
                </c:pt>
              </c:strCache>
            </c:strRef>
          </c:tx>
          <c:spPr>
            <a:gradFill rotWithShape="1">
              <a:gsLst>
                <a:gs pos="0">
                  <a:srgbClr val="FFC000">
                    <a:shade val="51000"/>
                    <a:satMod val="130000"/>
                  </a:srgbClr>
                </a:gs>
                <a:gs pos="80000">
                  <a:srgbClr val="FFC000">
                    <a:shade val="93000"/>
                    <a:satMod val="130000"/>
                  </a:srgbClr>
                </a:gs>
                <a:gs pos="100000">
                  <a:srgbClr val="FFC00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Sheet1!$A$2:$A$22</c:f>
              <c:strCache>
                <c:ptCount val="21"/>
                <c:pt idx="0">
                  <c:v>Državni/javni službenici</c:v>
                </c:pt>
                <c:pt idx="1">
                  <c:v>Ustanove</c:v>
                </c:pt>
                <c:pt idx="2">
                  <c:v>Komore</c:v>
                </c:pt>
                <c:pt idx="3">
                  <c:v>Udruge</c:v>
                </c:pt>
                <c:pt idx="4">
                  <c:v>Akademska zajednica</c:v>
                </c:pt>
                <c:pt idx="5">
                  <c:v>Trgovačka društva</c:v>
                </c:pt>
                <c:pt idx="6">
                  <c:v>Udruge sindikata</c:v>
                </c:pt>
                <c:pt idx="7">
                  <c:v>Udruge poslodavaca</c:v>
                </c:pt>
                <c:pt idx="8">
                  <c:v>Pojedinci</c:v>
                </c:pt>
                <c:pt idx="9">
                  <c:v>Zadruge</c:v>
                </c:pt>
                <c:pt idx="10">
                  <c:v>Zaklade</c:v>
                </c:pt>
                <c:pt idx="11">
                  <c:v>Jedinice lokalne i područne (regionalne) samouprave</c:v>
                </c:pt>
                <c:pt idx="12">
                  <c:v>Obiteljska poljoprivredna gospodarstva</c:v>
                </c:pt>
                <c:pt idx="13">
                  <c:v>Obrti</c:v>
                </c:pt>
                <c:pt idx="14">
                  <c:v>Predstavnici i vijeća nacionalnih manjina</c:v>
                </c:pt>
                <c:pt idx="15">
                  <c:v>Međunarodne organizacije</c:v>
                </c:pt>
                <c:pt idx="16">
                  <c:v>Fondacije</c:v>
                </c:pt>
                <c:pt idx="17">
                  <c:v>Vjerske zajednice</c:v>
                </c:pt>
                <c:pt idx="18">
                  <c:v>Umjetničke organizacije</c:v>
                </c:pt>
                <c:pt idx="19">
                  <c:v>Političke stranke</c:v>
                </c:pt>
                <c:pt idx="20">
                  <c:v>Ostali</c:v>
                </c:pt>
              </c:strCache>
            </c:strRef>
          </c:cat>
          <c:val>
            <c:numRef>
              <c:f>Sheet1!$B$2:$B$22</c:f>
              <c:numCache>
                <c:formatCode>General</c:formatCode>
                <c:ptCount val="21"/>
                <c:pt idx="0">
                  <c:v>2811</c:v>
                </c:pt>
                <c:pt idx="1">
                  <c:v>336</c:v>
                </c:pt>
                <c:pt idx="2">
                  <c:v>260</c:v>
                </c:pt>
                <c:pt idx="3">
                  <c:v>186</c:v>
                </c:pt>
                <c:pt idx="4">
                  <c:v>137</c:v>
                </c:pt>
                <c:pt idx="5">
                  <c:v>111</c:v>
                </c:pt>
                <c:pt idx="6">
                  <c:v>92</c:v>
                </c:pt>
                <c:pt idx="7">
                  <c:v>83</c:v>
                </c:pt>
                <c:pt idx="8">
                  <c:v>69</c:v>
                </c:pt>
                <c:pt idx="9">
                  <c:v>22</c:v>
                </c:pt>
                <c:pt idx="10">
                  <c:v>17</c:v>
                </c:pt>
                <c:pt idx="11">
                  <c:v>16</c:v>
                </c:pt>
                <c:pt idx="12">
                  <c:v>8</c:v>
                </c:pt>
                <c:pt idx="13">
                  <c:v>3</c:v>
                </c:pt>
                <c:pt idx="14">
                  <c:v>3</c:v>
                </c:pt>
                <c:pt idx="15">
                  <c:v>3</c:v>
                </c:pt>
                <c:pt idx="16">
                  <c:v>1</c:v>
                </c:pt>
                <c:pt idx="17">
                  <c:v>1</c:v>
                </c:pt>
                <c:pt idx="18">
                  <c:v>0</c:v>
                </c:pt>
                <c:pt idx="19">
                  <c:v>0</c:v>
                </c:pt>
                <c:pt idx="20">
                  <c:v>289</c:v>
                </c:pt>
              </c:numCache>
            </c:numRef>
          </c:val>
          <c:extLst xmlns:c16r2="http://schemas.microsoft.com/office/drawing/2015/06/chart">
            <c:ext xmlns:c16="http://schemas.microsoft.com/office/drawing/2014/chart" uri="{C3380CC4-5D6E-409C-BE32-E72D297353CC}">
              <c16:uniqueId val="{00000000-1396-4663-A3BD-2BAB6D9DA2E2}"/>
            </c:ext>
          </c:extLst>
        </c:ser>
        <c:dLbls>
          <c:showLegendKey val="0"/>
          <c:showVal val="0"/>
          <c:showCatName val="0"/>
          <c:showSerName val="0"/>
          <c:showPercent val="0"/>
          <c:showBubbleSize val="0"/>
        </c:dLbls>
        <c:gapWidth val="70"/>
        <c:axId val="-1434788176"/>
        <c:axId val="-1434787088"/>
      </c:barChart>
      <c:catAx>
        <c:axId val="-1434788176"/>
        <c:scaling>
          <c:orientation val="maxMin"/>
        </c:scaling>
        <c:delete val="0"/>
        <c:axPos val="l"/>
        <c:numFmt formatCode="General" sourceLinked="1"/>
        <c:majorTickMark val="none"/>
        <c:minorTickMark val="none"/>
        <c:tickLblPos val="nextTo"/>
        <c:spPr>
          <a:noFill/>
          <a:ln w="127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434787088"/>
        <c:crosses val="autoZero"/>
        <c:auto val="1"/>
        <c:lblAlgn val="ctr"/>
        <c:lblOffset val="100"/>
        <c:noMultiLvlLbl val="0"/>
      </c:catAx>
      <c:valAx>
        <c:axId val="-1434787088"/>
        <c:scaling>
          <c:orientation val="minMax"/>
        </c:scaling>
        <c:delete val="1"/>
        <c:axPos val="t"/>
        <c:numFmt formatCode="General" sourceLinked="1"/>
        <c:majorTickMark val="out"/>
        <c:minorTickMark val="none"/>
        <c:tickLblPos val="nextTo"/>
        <c:crossAx val="-1434788176"/>
        <c:crosses val="autoZero"/>
        <c:crossBetween val="between"/>
        <c:majorUnit val="500"/>
      </c:valAx>
      <c:spPr>
        <a:noFill/>
        <a:ln>
          <a:noFill/>
        </a:ln>
        <a:effectLst/>
      </c:spPr>
    </c:plotArea>
    <c:plotVisOnly val="1"/>
    <c:dispBlanksAs val="zero"/>
    <c:showDLblsOverMax val="0"/>
  </c:chart>
  <c:spPr>
    <a:solidFill>
      <a:sysClr val="window" lastClr="FFFFFF"/>
    </a:solidFill>
    <a:ln w="9525" cap="flat" cmpd="sng" algn="ctr">
      <a:solidFill>
        <a:schemeClr val="tx1">
          <a:lumMod val="15000"/>
          <a:lumOff val="85000"/>
        </a:schemeClr>
      </a:solidFill>
      <a:round/>
    </a:ln>
    <a:effectLst>
      <a:outerShdw blurRad="50800" dist="38100" dir="5400000" algn="t" rotWithShape="0">
        <a:prstClr val="black">
          <a:alpha val="40000"/>
        </a:prstClr>
      </a:outerShdw>
    </a:effectLst>
  </c:spPr>
  <c:txPr>
    <a:bodyPr/>
    <a:lstStyle/>
    <a:p>
      <a:pPr>
        <a:defRPr/>
      </a:pPr>
      <a:endParaRPr lang="sr-Latn-R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334356252017701"/>
          <c:y val="0"/>
          <c:w val="0.553874234174764"/>
          <c:h val="0.96690006365372405"/>
        </c:manualLayout>
      </c:layout>
      <c:doughnutChart>
        <c:varyColors val="1"/>
        <c:ser>
          <c:idx val="0"/>
          <c:order val="0"/>
          <c:tx>
            <c:strRef>
              <c:f>Sheet1!$B$1</c:f>
              <c:strCache>
                <c:ptCount val="1"/>
                <c:pt idx="0">
                  <c:v>Metode savjetovanja</c:v>
                </c:pt>
              </c:strCache>
            </c:strRef>
          </c:tx>
          <c:spPr>
            <a:ln w="28575">
              <a:solidFill>
                <a:schemeClr val="bg1"/>
              </a:solidFill>
            </a:ln>
          </c:spPr>
          <c:dPt>
            <c:idx val="0"/>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1-8022-4E5E-AC84-BABE58FABE26}"/>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3-8022-4E5E-AC84-BABE58FABE26}"/>
              </c:ext>
            </c:extLst>
          </c:dPt>
          <c:dPt>
            <c:idx val="2"/>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5-8022-4E5E-AC84-BABE58FABE26}"/>
              </c:ext>
            </c:extLst>
          </c:dPt>
          <c:dPt>
            <c:idx val="3"/>
            <c:bubble3D val="0"/>
            <c:spPr>
              <a:solidFill>
                <a:schemeClr val="accent3"/>
              </a:soli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7-8022-4E5E-AC84-BABE58FABE26}"/>
              </c:ext>
            </c:extLst>
          </c:dPt>
          <c:dLbls>
            <c:spPr>
              <a:noFill/>
              <a:ln>
                <a:noFill/>
              </a:ln>
              <a:effectLst/>
            </c:spPr>
            <c:txPr>
              <a:bodyPr/>
              <a:lstStyle/>
              <a:p>
                <a:pPr>
                  <a:defRPr sz="1100" b="1">
                    <a:solidFill>
                      <a:schemeClr val="bg1"/>
                    </a:solidFill>
                    <a:effectLst/>
                  </a:defRPr>
                </a:pPr>
                <a:endParaRPr lang="sr-Latn-R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Sheet1!$A$2:$A$5</c:f>
              <c:strCache>
                <c:ptCount val="4"/>
                <c:pt idx="0">
                  <c:v>Internetsko savjetovanje</c:v>
                </c:pt>
                <c:pt idx="1">
                  <c:v>Javna rasprava/ skup</c:v>
                </c:pt>
                <c:pt idx="2">
                  <c:v>Savjetodavni sastanak</c:v>
                </c:pt>
                <c:pt idx="3">
                  <c:v>Ostalo</c:v>
                </c:pt>
              </c:strCache>
            </c:strRef>
          </c:cat>
          <c:val>
            <c:numRef>
              <c:f>Sheet1!$B$2:$B$5</c:f>
              <c:numCache>
                <c:formatCode>0</c:formatCode>
                <c:ptCount val="4"/>
                <c:pt idx="0">
                  <c:v>85.940246045694195</c:v>
                </c:pt>
                <c:pt idx="1">
                  <c:v>3.0755711775043935</c:v>
                </c:pt>
                <c:pt idx="2">
                  <c:v>7.0298769771529006</c:v>
                </c:pt>
                <c:pt idx="3">
                  <c:v>3.9543057996485063</c:v>
                </c:pt>
              </c:numCache>
            </c:numRef>
          </c:val>
          <c:extLst xmlns:c16r2="http://schemas.microsoft.com/office/drawing/2015/06/chart">
            <c:ext xmlns:c16="http://schemas.microsoft.com/office/drawing/2014/chart" uri="{C3380CC4-5D6E-409C-BE32-E72D297353CC}">
              <c16:uniqueId val="{0000000C-8022-4E5E-AC84-BABE58FABE26}"/>
            </c:ext>
          </c:extLst>
        </c:ser>
        <c:ser>
          <c:idx val="1"/>
          <c:order val="1"/>
          <c:tx>
            <c:v>Labels</c:v>
          </c:tx>
          <c:spPr>
            <a:noFill/>
            <a:ln>
              <a:noFill/>
            </a:ln>
          </c:spPr>
          <c:dLbls>
            <c:dLbl>
              <c:idx val="0"/>
              <c:layout>
                <c:manualLayout>
                  <c:x val="0.10761718487112187"/>
                  <c:y val="-7.0223198061780887E-2"/>
                </c:manualLayout>
              </c:layout>
              <c:numFmt formatCode="@" sourceLinked="0"/>
              <c:spPr>
                <a:noFill/>
                <a:ln>
                  <a:noFill/>
                </a:ln>
                <a:effectLst/>
              </c:spPr>
              <c:txPr>
                <a:bodyPr rot="0" vert="horz" anchor="b" anchorCtr="0"/>
                <a:lstStyle/>
                <a:p>
                  <a:pPr>
                    <a:defRPr sz="1050" b="1" cap="none" baseline="0">
                      <a:solidFill>
                        <a:schemeClr val="accent5"/>
                      </a:solidFill>
                    </a:defRPr>
                  </a:pPr>
                  <a:endParaRPr lang="sr-Latn-RS"/>
                </a:p>
              </c:txPr>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D-8022-4E5E-AC84-BABE58FABE26}"/>
                </c:ext>
                <c:ext xmlns:c15="http://schemas.microsoft.com/office/drawing/2012/chart" uri="{CE6537A1-D6FC-4f65-9D91-7224C49458BB}">
                  <c15:layout>
                    <c:manualLayout>
                      <c:w val="0.19305555555555551"/>
                      <c:h val="0.1216923076923077"/>
                    </c:manualLayout>
                  </c15:layout>
                </c:ext>
              </c:extLst>
            </c:dLbl>
            <c:dLbl>
              <c:idx val="1"/>
              <c:layout>
                <c:manualLayout>
                  <c:x val="-7.0987953428898312E-2"/>
                  <c:y val="4.666005451241672E-2"/>
                </c:manualLayout>
              </c:layout>
              <c:numFmt formatCode="@" sourceLinked="0"/>
              <c:spPr>
                <a:noFill/>
                <a:ln>
                  <a:noFill/>
                </a:ln>
                <a:effectLst/>
              </c:spPr>
              <c:txPr>
                <a:bodyPr rot="0" vert="horz" anchor="b" anchorCtr="0"/>
                <a:lstStyle/>
                <a:p>
                  <a:pPr>
                    <a:defRPr sz="1050" b="1" cap="none" baseline="0">
                      <a:solidFill>
                        <a:schemeClr val="accent2"/>
                      </a:solidFill>
                    </a:defRPr>
                  </a:pPr>
                  <a:endParaRPr lang="sr-Latn-RS"/>
                </a:p>
              </c:txPr>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E-8022-4E5E-AC84-BABE58FABE26}"/>
                </c:ext>
                <c:ext xmlns:c15="http://schemas.microsoft.com/office/drawing/2012/chart" uri="{CE6537A1-D6FC-4f65-9D91-7224C49458BB}">
                  <c15:layout>
                    <c:manualLayout>
                      <c:w val="0.16136752136752136"/>
                      <c:h val="0.11015384615384613"/>
                    </c:manualLayout>
                  </c15:layout>
                </c:ext>
              </c:extLst>
            </c:dLbl>
            <c:dLbl>
              <c:idx val="2"/>
              <c:layout>
                <c:manualLayout>
                  <c:x val="-3.9679150683087729E-2"/>
                  <c:y val="-1.1850090854027861E-2"/>
                </c:manualLayout>
              </c:layout>
              <c:numFmt formatCode="@" sourceLinked="0"/>
              <c:spPr>
                <a:noFill/>
                <a:ln>
                  <a:noFill/>
                </a:ln>
                <a:effectLst/>
              </c:spPr>
              <c:txPr>
                <a:bodyPr rot="0" vert="horz" anchor="b" anchorCtr="0"/>
                <a:lstStyle/>
                <a:p>
                  <a:pPr>
                    <a:defRPr sz="1050" b="1" cap="none" baseline="0">
                      <a:solidFill>
                        <a:schemeClr val="accent6"/>
                      </a:solidFill>
                    </a:defRPr>
                  </a:pPr>
                  <a:endParaRPr lang="sr-Latn-RS"/>
                </a:p>
              </c:txPr>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F-8022-4E5E-AC84-BABE58FABE26}"/>
                </c:ext>
                <c:ext xmlns:c15="http://schemas.microsoft.com/office/drawing/2012/chart" uri="{CE6537A1-D6FC-4f65-9D91-7224C49458BB}">
                  <c15:layout>
                    <c:manualLayout>
                      <c:w val="0.16105777643179217"/>
                      <c:h val="0.13323076923076924"/>
                    </c:manualLayout>
                  </c15:layout>
                </c:ext>
              </c:extLst>
            </c:dLbl>
            <c:dLbl>
              <c:idx val="3"/>
              <c:layout>
                <c:manualLayout>
                  <c:x val="8.7787704421562682E-3"/>
                  <c:y val="1.220305875227135E-2"/>
                </c:manualLayout>
              </c:layout>
              <c:numFmt formatCode="@" sourceLinked="0"/>
              <c:spPr>
                <a:noFill/>
                <a:ln>
                  <a:noFill/>
                </a:ln>
                <a:effectLst/>
              </c:spPr>
              <c:txPr>
                <a:bodyPr rot="0" vert="horz" anchor="b" anchorCtr="0"/>
                <a:lstStyle/>
                <a:p>
                  <a:pPr>
                    <a:defRPr sz="1050" b="1" cap="none" baseline="0">
                      <a:solidFill>
                        <a:schemeClr val="accent3"/>
                      </a:solidFill>
                    </a:defRPr>
                  </a:pPr>
                  <a:endParaRPr lang="sr-Latn-RS"/>
                </a:p>
              </c:txPr>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10-8022-4E5E-AC84-BABE58FABE26}"/>
                </c:ext>
                <c:ext xmlns:c15="http://schemas.microsoft.com/office/drawing/2012/chart" uri="{CE6537A1-D6FC-4f65-9D91-7224C49458BB}">
                  <c15:layout>
                    <c:manualLayout>
                      <c:w val="0.13666599367386767"/>
                      <c:h val="4.7016353725015135E-2"/>
                    </c:manualLayout>
                  </c15:layout>
                </c:ext>
              </c:extLst>
            </c:dLbl>
            <c:numFmt formatCode="@" sourceLinked="0"/>
            <c:spPr>
              <a:noFill/>
              <a:ln>
                <a:noFill/>
              </a:ln>
              <a:effectLst/>
            </c:spPr>
            <c:txPr>
              <a:bodyPr rot="0" vert="horz" anchor="b" anchorCtr="0"/>
              <a:lstStyle/>
              <a:p>
                <a:pPr>
                  <a:defRPr sz="1050" b="1" cap="none" baseline="0">
                    <a:solidFill>
                      <a:srgbClr val="424242"/>
                    </a:solidFill>
                  </a:defRPr>
                </a:pPr>
                <a:endParaRPr lang="sr-Latn-RS"/>
              </a:p>
            </c:txPr>
            <c:showLegendKey val="0"/>
            <c:showVal val="0"/>
            <c:showCatName val="1"/>
            <c:showSerName val="0"/>
            <c:showPercent val="0"/>
            <c:showBubbleSize val="0"/>
            <c:showLeaderLines val="0"/>
            <c:extLst xmlns:c16r2="http://schemas.microsoft.com/office/drawing/2015/06/chart">
              <c:ext xmlns:c15="http://schemas.microsoft.com/office/drawing/2012/chart" uri="{CE6537A1-D6FC-4f65-9D91-7224C49458BB}"/>
            </c:extLst>
          </c:dLbls>
          <c:cat>
            <c:strRef>
              <c:f>Sheet1!$A$2:$A$5</c:f>
              <c:strCache>
                <c:ptCount val="4"/>
                <c:pt idx="0">
                  <c:v>Internetsko savjetovanje</c:v>
                </c:pt>
                <c:pt idx="1">
                  <c:v>Javna rasprava/ skup</c:v>
                </c:pt>
                <c:pt idx="2">
                  <c:v>Savjetodavni sastanak</c:v>
                </c:pt>
                <c:pt idx="3">
                  <c:v>Ostalo</c:v>
                </c:pt>
              </c:strCache>
            </c:strRef>
          </c:cat>
          <c:val>
            <c:numRef>
              <c:f>Sheet1!$GL$2:$GL$5</c:f>
              <c:numCache>
                <c:formatCode>General</c:formatCode>
                <c:ptCount val="4"/>
                <c:pt idx="0">
                  <c:v>85.940246045694195</c:v>
                </c:pt>
                <c:pt idx="1">
                  <c:v>3.0755711775043935</c:v>
                </c:pt>
                <c:pt idx="2">
                  <c:v>7.0298769771529006</c:v>
                </c:pt>
                <c:pt idx="3">
                  <c:v>3.9543057996485063</c:v>
                </c:pt>
              </c:numCache>
            </c:numRef>
          </c:val>
          <c:extLst xmlns:c16r2="http://schemas.microsoft.com/office/drawing/2015/06/chart">
            <c:ext xmlns:c16="http://schemas.microsoft.com/office/drawing/2014/chart" uri="{C3380CC4-5D6E-409C-BE32-E72D297353CC}">
              <c16:uniqueId val="{00000013-8022-4E5E-AC84-BABE58FABE26}"/>
            </c:ext>
          </c:extLst>
        </c:ser>
        <c:dLbls>
          <c:showLegendKey val="0"/>
          <c:showVal val="0"/>
          <c:showCatName val="0"/>
          <c:showSerName val="0"/>
          <c:showPercent val="1"/>
          <c:showBubbleSize val="0"/>
          <c:showLeaderLines val="1"/>
        </c:dLbls>
        <c:firstSliceAng val="0"/>
        <c:holeSize val="40"/>
      </c:doughnutChart>
    </c:plotArea>
    <c:plotVisOnly val="1"/>
    <c:dispBlanksAs val="gap"/>
    <c:showDLblsOverMax val="0"/>
  </c:chart>
  <c:spPr>
    <a:solidFill>
      <a:schemeClr val="bg1"/>
    </a:solidFill>
    <a:ln>
      <a:solidFill>
        <a:schemeClr val="bg1">
          <a:lumMod val="85000"/>
        </a:schemeClr>
      </a:solidFill>
    </a:ln>
    <a:effectLst>
      <a:outerShdw blurRad="50800" dist="38100" dir="5400000" algn="t" rotWithShape="0">
        <a:prstClr val="black">
          <a:alpha val="40000"/>
        </a:prstClr>
      </a:outerShdw>
    </a:effectLst>
  </c:spPr>
  <c:txPr>
    <a:bodyPr/>
    <a:lstStyle/>
    <a:p>
      <a:pPr>
        <a:defRPr sz="1800"/>
      </a:pPr>
      <a:endParaRPr lang="sr-Latn-R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334356252017701"/>
          <c:y val="0"/>
          <c:w val="0.553874234174764"/>
          <c:h val="0.96690006365372405"/>
        </c:manualLayout>
      </c:layout>
      <c:doughnutChart>
        <c:varyColors val="1"/>
        <c:ser>
          <c:idx val="0"/>
          <c:order val="0"/>
          <c:tx>
            <c:strRef>
              <c:f>Sheet1!$B$1</c:f>
              <c:strCache>
                <c:ptCount val="1"/>
                <c:pt idx="0">
                  <c:v>Trajanje savjetovanja</c:v>
                </c:pt>
              </c:strCache>
            </c:strRef>
          </c:tx>
          <c:spPr>
            <a:ln w="28575">
              <a:solidFill>
                <a:schemeClr val="bg1"/>
              </a:solidFill>
            </a:ln>
          </c:spPr>
          <c:dPt>
            <c:idx val="0"/>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1-5D74-4034-8256-E7C149F8BEAD}"/>
              </c:ext>
            </c:extLst>
          </c:dPt>
          <c:dPt>
            <c:idx val="1"/>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3-5D74-4034-8256-E7C149F8BEAD}"/>
              </c:ext>
            </c:extLst>
          </c:dPt>
          <c:dLbls>
            <c:spPr>
              <a:noFill/>
              <a:ln>
                <a:noFill/>
              </a:ln>
              <a:effectLst/>
            </c:spPr>
            <c:txPr>
              <a:bodyPr/>
              <a:lstStyle/>
              <a:p>
                <a:pPr>
                  <a:defRPr sz="1100" b="1">
                    <a:solidFill>
                      <a:schemeClr val="bg1"/>
                    </a:solidFill>
                    <a:effectLst/>
                  </a:defRPr>
                </a:pPr>
                <a:endParaRPr lang="sr-Latn-R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Sheet1!$A$2:$A$3</c:f>
              <c:strCache>
                <c:ptCount val="2"/>
                <c:pt idx="0">
                  <c:v>Manje od 30 dana</c:v>
                </c:pt>
                <c:pt idx="1">
                  <c:v>Više od 30 dana</c:v>
                </c:pt>
              </c:strCache>
            </c:strRef>
          </c:cat>
          <c:val>
            <c:numRef>
              <c:f>Sheet1!$B$2:$B$3</c:f>
              <c:numCache>
                <c:formatCode>0</c:formatCode>
                <c:ptCount val="2"/>
                <c:pt idx="0">
                  <c:v>88.18973862536302</c:v>
                </c:pt>
                <c:pt idx="1">
                  <c:v>11.81026137463698</c:v>
                </c:pt>
              </c:numCache>
            </c:numRef>
          </c:val>
          <c:extLst xmlns:c16r2="http://schemas.microsoft.com/office/drawing/2015/06/chart">
            <c:ext xmlns:c16="http://schemas.microsoft.com/office/drawing/2014/chart" uri="{C3380CC4-5D6E-409C-BE32-E72D297353CC}">
              <c16:uniqueId val="{00000008-5D74-4034-8256-E7C149F8BEAD}"/>
            </c:ext>
          </c:extLst>
        </c:ser>
        <c:ser>
          <c:idx val="1"/>
          <c:order val="1"/>
          <c:tx>
            <c:v>Labels</c:v>
          </c:tx>
          <c:spPr>
            <a:noFill/>
            <a:ln>
              <a:noFill/>
            </a:ln>
          </c:spPr>
          <c:dLbls>
            <c:dLbl>
              <c:idx val="0"/>
              <c:layout>
                <c:manualLayout>
                  <c:x val="0.13753171478565179"/>
                  <c:y val="-5.4838734100545121E-2"/>
                </c:manualLayout>
              </c:layout>
              <c:numFmt formatCode="@" sourceLinked="0"/>
              <c:spPr>
                <a:noFill/>
                <a:ln>
                  <a:noFill/>
                </a:ln>
                <a:effectLst/>
              </c:spPr>
              <c:txPr>
                <a:bodyPr rot="0" vert="horz" anchor="b" anchorCtr="0"/>
                <a:lstStyle/>
                <a:p>
                  <a:pPr>
                    <a:defRPr sz="1050" b="1" cap="none" baseline="0">
                      <a:solidFill>
                        <a:schemeClr val="accent5"/>
                      </a:solidFill>
                    </a:defRPr>
                  </a:pPr>
                  <a:endParaRPr lang="sr-Latn-RS"/>
                </a:p>
              </c:txPr>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9-5D74-4034-8256-E7C149F8BEAD}"/>
                </c:ext>
                <c:ext xmlns:c15="http://schemas.microsoft.com/office/drawing/2012/chart" uri="{CE6537A1-D6FC-4f65-9D91-7224C49458BB}">
                  <c15:layout>
                    <c:manualLayout>
                      <c:w val="0.26143162393162389"/>
                      <c:h val="7.5538461538461527E-2"/>
                    </c:manualLayout>
                  </c15:layout>
                </c:ext>
              </c:extLst>
            </c:dLbl>
            <c:dLbl>
              <c:idx val="1"/>
              <c:layout>
                <c:manualLayout>
                  <c:x val="-9.6628979069923945E-2"/>
                  <c:y val="8.1985160508782559E-3"/>
                </c:manualLayout>
              </c:layout>
              <c:tx>
                <c:rich>
                  <a:bodyPr rot="0" vert="horz" anchor="b" anchorCtr="0"/>
                  <a:lstStyle/>
                  <a:p>
                    <a:pPr>
                      <a:defRPr sz="1050" b="1" cap="none" baseline="0">
                        <a:solidFill>
                          <a:schemeClr val="accent6"/>
                        </a:solidFill>
                      </a:defRPr>
                    </a:pPr>
                    <a:r>
                      <a:rPr lang="en-US"/>
                      <a:t>30</a:t>
                    </a:r>
                    <a:r>
                      <a:rPr lang="en-US" baseline="0"/>
                      <a:t> i više dana</a:t>
                    </a:r>
                    <a:endParaRPr lang="en-US"/>
                  </a:p>
                </c:rich>
              </c:tx>
              <c:numFmt formatCode="@" sourceLinked="0"/>
              <c:spPr>
                <a:noFill/>
                <a:ln>
                  <a:noFill/>
                </a:ln>
                <a:effectLst/>
              </c:spPr>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A-5D74-4034-8256-E7C149F8BEAD}"/>
                </c:ext>
                <c:ext xmlns:c15="http://schemas.microsoft.com/office/drawing/2012/chart" uri="{CE6537A1-D6FC-4f65-9D91-7224C49458BB}">
                  <c15:layout>
                    <c:manualLayout>
                      <c:w val="0.25111111111111112"/>
                      <c:h val="0.11015384615384613"/>
                    </c:manualLayout>
                  </c15:layout>
                </c:ext>
              </c:extLst>
            </c:dLbl>
            <c:numFmt formatCode="@" sourceLinked="0"/>
            <c:spPr>
              <a:noFill/>
              <a:ln>
                <a:noFill/>
              </a:ln>
              <a:effectLst/>
            </c:spPr>
            <c:txPr>
              <a:bodyPr rot="0" vert="horz" anchor="b" anchorCtr="0"/>
              <a:lstStyle/>
              <a:p>
                <a:pPr>
                  <a:defRPr sz="1050" b="1" cap="none" baseline="0">
                    <a:solidFill>
                      <a:srgbClr val="424242"/>
                    </a:solidFill>
                  </a:defRPr>
                </a:pPr>
                <a:endParaRPr lang="sr-Latn-RS"/>
              </a:p>
            </c:txPr>
            <c:showLegendKey val="0"/>
            <c:showVal val="0"/>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Sheet1!$A$2:$A$3</c:f>
              <c:strCache>
                <c:ptCount val="2"/>
                <c:pt idx="0">
                  <c:v>Manje od 30 dana</c:v>
                </c:pt>
                <c:pt idx="1">
                  <c:v>Više od 30 dana</c:v>
                </c:pt>
              </c:strCache>
            </c:strRef>
          </c:cat>
          <c:val>
            <c:numRef>
              <c:f>Sheet1!$GL$2:$GL$3</c:f>
              <c:numCache>
                <c:formatCode>General</c:formatCode>
                <c:ptCount val="2"/>
                <c:pt idx="0">
                  <c:v>88.18973862536302</c:v>
                </c:pt>
                <c:pt idx="1">
                  <c:v>11.81026137463698</c:v>
                </c:pt>
              </c:numCache>
            </c:numRef>
          </c:val>
          <c:extLst xmlns:c16r2="http://schemas.microsoft.com/office/drawing/2015/06/chart">
            <c:ext xmlns:c16="http://schemas.microsoft.com/office/drawing/2014/chart" uri="{C3380CC4-5D6E-409C-BE32-E72D297353CC}">
              <c16:uniqueId val="{0000000D-5D74-4034-8256-E7C149F8BEAD}"/>
            </c:ext>
          </c:extLst>
        </c:ser>
        <c:dLbls>
          <c:showLegendKey val="0"/>
          <c:showVal val="0"/>
          <c:showCatName val="0"/>
          <c:showSerName val="0"/>
          <c:showPercent val="1"/>
          <c:showBubbleSize val="0"/>
          <c:showLeaderLines val="1"/>
        </c:dLbls>
        <c:firstSliceAng val="0"/>
        <c:holeSize val="40"/>
      </c:doughnutChart>
    </c:plotArea>
    <c:plotVisOnly val="1"/>
    <c:dispBlanksAs val="gap"/>
    <c:showDLblsOverMax val="0"/>
  </c:chart>
  <c:spPr>
    <a:solidFill>
      <a:schemeClr val="bg1"/>
    </a:solidFill>
    <a:ln>
      <a:solidFill>
        <a:schemeClr val="bg1">
          <a:lumMod val="85000"/>
        </a:schemeClr>
      </a:solidFill>
    </a:ln>
    <a:effectLst>
      <a:outerShdw blurRad="50800" dist="38100" dir="5400000" algn="t" rotWithShape="0">
        <a:prstClr val="black">
          <a:alpha val="40000"/>
        </a:prstClr>
      </a:outerShdw>
    </a:effectLst>
  </c:spPr>
  <c:txPr>
    <a:bodyPr/>
    <a:lstStyle/>
    <a:p>
      <a:pPr>
        <a:defRPr sz="1800"/>
      </a:pPr>
      <a:endParaRPr lang="sr-Latn-R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3269034882090118"/>
          <c:y val="2.356926054634232E-2"/>
          <c:w val="0.52049031275670687"/>
          <c:h val="0.95774854958772615"/>
        </c:manualLayout>
      </c:layout>
      <c:barChart>
        <c:barDir val="bar"/>
        <c:grouping val="clustered"/>
        <c:varyColors val="0"/>
        <c:ser>
          <c:idx val="0"/>
          <c:order val="0"/>
          <c:tx>
            <c:strRef>
              <c:f>Sheet1!$B$1</c:f>
              <c:strCache>
                <c:ptCount val="1"/>
                <c:pt idx="0">
                  <c:v>Podnositelji komentara</c:v>
                </c:pt>
              </c:strCache>
            </c:strRef>
          </c:tx>
          <c:spPr>
            <a:gradFill rotWithShape="1">
              <a:gsLst>
                <a:gs pos="0">
                  <a:srgbClr val="FFC000">
                    <a:shade val="51000"/>
                    <a:satMod val="130000"/>
                  </a:srgbClr>
                </a:gs>
                <a:gs pos="80000">
                  <a:srgbClr val="FFC000">
                    <a:shade val="93000"/>
                    <a:satMod val="130000"/>
                  </a:srgbClr>
                </a:gs>
                <a:gs pos="100000">
                  <a:srgbClr val="FFC00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Sheet1!$A$2:$A$22</c:f>
              <c:strCache>
                <c:ptCount val="21"/>
                <c:pt idx="0">
                  <c:v>Pojedinci</c:v>
                </c:pt>
                <c:pt idx="1">
                  <c:v>Udruge</c:v>
                </c:pt>
                <c:pt idx="2">
                  <c:v>Trgovačka društva</c:v>
                </c:pt>
                <c:pt idx="3">
                  <c:v>Ustanove</c:v>
                </c:pt>
                <c:pt idx="4">
                  <c:v>JLPRS</c:v>
                </c:pt>
                <c:pt idx="5">
                  <c:v>Komore</c:v>
                </c:pt>
                <c:pt idx="6">
                  <c:v>Akademska zajednica</c:v>
                </c:pt>
                <c:pt idx="7">
                  <c:v>Državna tijela</c:v>
                </c:pt>
                <c:pt idx="8">
                  <c:v>Obrti</c:v>
                </c:pt>
                <c:pt idx="9">
                  <c:v>Udruge sindikata</c:v>
                </c:pt>
                <c:pt idx="10">
                  <c:v>Udruge poslodavaca</c:v>
                </c:pt>
                <c:pt idx="11">
                  <c:v>Obiteljska poljoprivredna gospodarstva</c:v>
                </c:pt>
                <c:pt idx="12">
                  <c:v>Zadruge</c:v>
                </c:pt>
                <c:pt idx="13">
                  <c:v>Međunarodne organizacije</c:v>
                </c:pt>
                <c:pt idx="14">
                  <c:v>Zaklade</c:v>
                </c:pt>
                <c:pt idx="15">
                  <c:v>Predstavnici i vijeća nacionalnih manjina</c:v>
                </c:pt>
                <c:pt idx="16">
                  <c:v>Vjerske zajednice</c:v>
                </c:pt>
                <c:pt idx="17">
                  <c:v>Političke stranke</c:v>
                </c:pt>
                <c:pt idx="18">
                  <c:v>Fondacije</c:v>
                </c:pt>
                <c:pt idx="19">
                  <c:v>Umjetničke organizacije</c:v>
                </c:pt>
                <c:pt idx="20">
                  <c:v>Ostali</c:v>
                </c:pt>
              </c:strCache>
            </c:strRef>
          </c:cat>
          <c:val>
            <c:numRef>
              <c:f>Sheet1!$B$2:$B$22</c:f>
              <c:numCache>
                <c:formatCode>General</c:formatCode>
                <c:ptCount val="21"/>
                <c:pt idx="0">
                  <c:v>3468</c:v>
                </c:pt>
                <c:pt idx="1">
                  <c:v>427</c:v>
                </c:pt>
                <c:pt idx="2">
                  <c:v>373</c:v>
                </c:pt>
                <c:pt idx="3">
                  <c:v>161</c:v>
                </c:pt>
                <c:pt idx="4">
                  <c:v>79</c:v>
                </c:pt>
                <c:pt idx="5">
                  <c:v>47</c:v>
                </c:pt>
                <c:pt idx="6">
                  <c:v>35</c:v>
                </c:pt>
                <c:pt idx="7">
                  <c:v>32</c:v>
                </c:pt>
                <c:pt idx="8">
                  <c:v>23</c:v>
                </c:pt>
                <c:pt idx="9">
                  <c:v>14</c:v>
                </c:pt>
                <c:pt idx="10">
                  <c:v>10</c:v>
                </c:pt>
                <c:pt idx="11">
                  <c:v>10</c:v>
                </c:pt>
                <c:pt idx="12">
                  <c:v>4</c:v>
                </c:pt>
                <c:pt idx="13">
                  <c:v>3</c:v>
                </c:pt>
                <c:pt idx="14">
                  <c:v>2</c:v>
                </c:pt>
                <c:pt idx="15">
                  <c:v>2</c:v>
                </c:pt>
                <c:pt idx="16">
                  <c:v>1</c:v>
                </c:pt>
                <c:pt idx="17">
                  <c:v>1</c:v>
                </c:pt>
                <c:pt idx="18">
                  <c:v>0</c:v>
                </c:pt>
                <c:pt idx="19">
                  <c:v>0</c:v>
                </c:pt>
                <c:pt idx="20">
                  <c:v>20</c:v>
                </c:pt>
              </c:numCache>
            </c:numRef>
          </c:val>
          <c:extLst xmlns:c16r2="http://schemas.microsoft.com/office/drawing/2015/06/chart">
            <c:ext xmlns:c16="http://schemas.microsoft.com/office/drawing/2014/chart" uri="{C3380CC4-5D6E-409C-BE32-E72D297353CC}">
              <c16:uniqueId val="{00000000-B547-4E4A-AF62-16B6A6220EEB}"/>
            </c:ext>
          </c:extLst>
        </c:ser>
        <c:dLbls>
          <c:showLegendKey val="0"/>
          <c:showVal val="0"/>
          <c:showCatName val="0"/>
          <c:showSerName val="0"/>
          <c:showPercent val="0"/>
          <c:showBubbleSize val="0"/>
        </c:dLbls>
        <c:gapWidth val="70"/>
        <c:axId val="-1434789808"/>
        <c:axId val="-1434787632"/>
      </c:barChart>
      <c:catAx>
        <c:axId val="-1434789808"/>
        <c:scaling>
          <c:orientation val="maxMin"/>
        </c:scaling>
        <c:delete val="0"/>
        <c:axPos val="l"/>
        <c:numFmt formatCode="General" sourceLinked="1"/>
        <c:majorTickMark val="none"/>
        <c:minorTickMark val="none"/>
        <c:tickLblPos val="nextTo"/>
        <c:spPr>
          <a:noFill/>
          <a:ln w="127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434787632"/>
        <c:crosses val="autoZero"/>
        <c:auto val="1"/>
        <c:lblAlgn val="ctr"/>
        <c:lblOffset val="100"/>
        <c:noMultiLvlLbl val="0"/>
      </c:catAx>
      <c:valAx>
        <c:axId val="-1434787632"/>
        <c:scaling>
          <c:orientation val="minMax"/>
        </c:scaling>
        <c:delete val="1"/>
        <c:axPos val="t"/>
        <c:numFmt formatCode="General" sourceLinked="1"/>
        <c:majorTickMark val="out"/>
        <c:minorTickMark val="none"/>
        <c:tickLblPos val="nextTo"/>
        <c:crossAx val="-1434789808"/>
        <c:crosses val="autoZero"/>
        <c:crossBetween val="between"/>
        <c:majorUnit val="500"/>
      </c:valAx>
      <c:spPr>
        <a:noFill/>
        <a:ln>
          <a:noFill/>
        </a:ln>
        <a:effectLst/>
      </c:spPr>
    </c:plotArea>
    <c:plotVisOnly val="1"/>
    <c:dispBlanksAs val="zero"/>
    <c:showDLblsOverMax val="0"/>
  </c:chart>
  <c:spPr>
    <a:solidFill>
      <a:sysClr val="window" lastClr="FFFFFF"/>
    </a:solidFill>
    <a:ln w="9525" cap="flat" cmpd="sng" algn="ctr">
      <a:solidFill>
        <a:schemeClr val="tx1">
          <a:lumMod val="15000"/>
          <a:lumOff val="85000"/>
        </a:schemeClr>
      </a:solidFill>
      <a:round/>
    </a:ln>
    <a:effectLst>
      <a:outerShdw blurRad="50800" dist="38100" dir="5400000" algn="t" rotWithShape="0">
        <a:prstClr val="black">
          <a:alpha val="40000"/>
        </a:prstClr>
      </a:outerShdw>
    </a:effectLst>
  </c:spPr>
  <c:txPr>
    <a:bodyPr/>
    <a:lstStyle/>
    <a:p>
      <a:pPr>
        <a:defRPr/>
      </a:pPr>
      <a:endParaRPr lang="sr-Latn-R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021552594387241"/>
          <c:y val="5.2132701421800945E-2"/>
          <c:w val="0.86628020055185406"/>
          <c:h val="0.89573459715639814"/>
        </c:manualLayout>
      </c:layout>
      <c:barChart>
        <c:barDir val="bar"/>
        <c:grouping val="clustered"/>
        <c:varyColors val="0"/>
        <c:ser>
          <c:idx val="0"/>
          <c:order val="0"/>
          <c:tx>
            <c:strRef>
              <c:f>Sheet1!$B$1</c:f>
              <c:strCache>
                <c:ptCount val="1"/>
                <c:pt idx="0">
                  <c:v>Column1</c:v>
                </c:pt>
              </c:strCache>
            </c:strRef>
          </c:tx>
          <c:spPr>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a:noFill/>
            </a:ln>
            <a:effectLst>
              <a:outerShdw blurRad="57150" dist="19050" dir="5400000" algn="ctr" rotWithShape="0">
                <a:srgbClr val="000000">
                  <a:alpha val="63000"/>
                </a:srgbClr>
              </a:outerShdw>
            </a:effectLst>
          </c:spPr>
          <c:invertIfNegative val="0"/>
          <c:dLbls>
            <c:spPr>
              <a:solidFill>
                <a:sysClr val="window" lastClr="FFFFFF"/>
              </a:solidFill>
              <a:ln w="28575">
                <a:solidFill>
                  <a:srgbClr val="FFC000"/>
                </a:solid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sr-Latn-R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2012.</c:v>
                </c:pt>
                <c:pt idx="1">
                  <c:v>2013.</c:v>
                </c:pt>
                <c:pt idx="2">
                  <c:v>2014.</c:v>
                </c:pt>
                <c:pt idx="3">
                  <c:v>2015.</c:v>
                </c:pt>
                <c:pt idx="4">
                  <c:v>2016.</c:v>
                </c:pt>
                <c:pt idx="5">
                  <c:v>2017.</c:v>
                </c:pt>
                <c:pt idx="6">
                  <c:v>2018.</c:v>
                </c:pt>
              </c:strCache>
            </c:strRef>
          </c:cat>
          <c:val>
            <c:numRef>
              <c:f>Sheet1!$B$2:$B$8</c:f>
              <c:numCache>
                <c:formatCode>General</c:formatCode>
                <c:ptCount val="7"/>
                <c:pt idx="0">
                  <c:v>4786</c:v>
                </c:pt>
                <c:pt idx="1">
                  <c:v>8299</c:v>
                </c:pt>
                <c:pt idx="2">
                  <c:v>7482</c:v>
                </c:pt>
                <c:pt idx="3">
                  <c:v>5863</c:v>
                </c:pt>
                <c:pt idx="4">
                  <c:v>4105</c:v>
                </c:pt>
                <c:pt idx="5">
                  <c:v>5821</c:v>
                </c:pt>
                <c:pt idx="6">
                  <c:v>4712</c:v>
                </c:pt>
              </c:numCache>
            </c:numRef>
          </c:val>
          <c:extLst xmlns:c16r2="http://schemas.microsoft.com/office/drawing/2015/06/chart">
            <c:ext xmlns:c16="http://schemas.microsoft.com/office/drawing/2014/chart" uri="{C3380CC4-5D6E-409C-BE32-E72D297353CC}">
              <c16:uniqueId val="{00000000-F818-488B-BF80-718A551B551F}"/>
            </c:ext>
          </c:extLst>
        </c:ser>
        <c:dLbls>
          <c:dLblPos val="ctr"/>
          <c:showLegendKey val="0"/>
          <c:showVal val="1"/>
          <c:showCatName val="0"/>
          <c:showSerName val="0"/>
          <c:showPercent val="0"/>
          <c:showBubbleSize val="0"/>
        </c:dLbls>
        <c:gapWidth val="150"/>
        <c:axId val="-1434786544"/>
        <c:axId val="-1434793616"/>
      </c:barChart>
      <c:catAx>
        <c:axId val="-1434786544"/>
        <c:scaling>
          <c:orientation val="minMax"/>
        </c:scaling>
        <c:delete val="0"/>
        <c:axPos val="l"/>
        <c:numFmt formatCode="General" sourceLinked="0"/>
        <c:majorTickMark val="none"/>
        <c:minorTickMark val="none"/>
        <c:tickLblPos val="nextTo"/>
        <c:spPr>
          <a:noFill/>
          <a:ln w="19050" cap="flat" cmpd="sng" algn="ctr">
            <a:noFill/>
            <a:round/>
          </a:ln>
          <a:effectLst/>
        </c:spPr>
        <c:txPr>
          <a:bodyPr rot="-6000000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sr-Latn-RS"/>
          </a:p>
        </c:txPr>
        <c:crossAx val="-1434793616"/>
        <c:crosses val="autoZero"/>
        <c:auto val="1"/>
        <c:lblAlgn val="ctr"/>
        <c:lblOffset val="100"/>
        <c:noMultiLvlLbl val="0"/>
      </c:catAx>
      <c:valAx>
        <c:axId val="-1434793616"/>
        <c:scaling>
          <c:orientation val="minMax"/>
          <c:max val="9000"/>
          <c:min val="0"/>
        </c:scaling>
        <c:delete val="1"/>
        <c:axPos val="b"/>
        <c:numFmt formatCode="General" sourceLinked="1"/>
        <c:majorTickMark val="out"/>
        <c:minorTickMark val="none"/>
        <c:tickLblPos val="nextTo"/>
        <c:crossAx val="-1434786544"/>
        <c:crosses val="autoZero"/>
        <c:crossBetween val="between"/>
      </c:valAx>
      <c:spPr>
        <a:noFill/>
        <a:ln>
          <a:noFill/>
        </a:ln>
        <a:effectLst/>
      </c:spPr>
    </c:plotArea>
    <c:plotVisOnly val="1"/>
    <c:dispBlanksAs val="gap"/>
    <c:showDLblsOverMax val="0"/>
  </c:chart>
  <c:spPr>
    <a:solidFill>
      <a:sysClr val="window" lastClr="FFFFFF"/>
    </a:solidFill>
    <a:ln w="9525" cap="flat" cmpd="sng" algn="ctr">
      <a:solidFill>
        <a:schemeClr val="tx1">
          <a:lumMod val="15000"/>
          <a:lumOff val="85000"/>
        </a:schemeClr>
      </a:solidFill>
      <a:round/>
    </a:ln>
    <a:effectLst>
      <a:outerShdw blurRad="50800" dist="38100" dir="5400000" algn="t" rotWithShape="0">
        <a:prstClr val="black">
          <a:alpha val="40000"/>
        </a:prstClr>
      </a:outerShdw>
    </a:effectLst>
  </c:spPr>
  <c:txPr>
    <a:bodyPr/>
    <a:lstStyle/>
    <a:p>
      <a:pPr>
        <a:defRPr/>
      </a:pPr>
      <a:endParaRPr lang="sr-Latn-R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334356252017701"/>
          <c:y val="0"/>
          <c:w val="0.553874234174764"/>
          <c:h val="0.96690006365372405"/>
        </c:manualLayout>
      </c:layout>
      <c:doughnutChart>
        <c:varyColors val="1"/>
        <c:ser>
          <c:idx val="0"/>
          <c:order val="0"/>
          <c:tx>
            <c:strRef>
              <c:f>Sheet1!$B$1</c:f>
              <c:strCache>
                <c:ptCount val="1"/>
                <c:pt idx="0">
                  <c:v>Struktura</c:v>
                </c:pt>
              </c:strCache>
            </c:strRef>
          </c:tx>
          <c:spPr>
            <a:ln w="28575">
              <a:solidFill>
                <a:schemeClr val="bg1"/>
              </a:solidFill>
            </a:ln>
          </c:spPr>
          <c:dPt>
            <c:idx val="0"/>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1-9250-491E-96A6-8C4AF15AE674}"/>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3-9250-491E-96A6-8C4AF15AE674}"/>
              </c:ext>
            </c:extLst>
          </c:dPt>
          <c:dPt>
            <c:idx val="2"/>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5-9250-491E-96A6-8C4AF15AE674}"/>
              </c:ext>
            </c:extLst>
          </c:dPt>
          <c:dPt>
            <c:idx val="3"/>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7-9250-491E-96A6-8C4AF15AE674}"/>
              </c:ext>
            </c:extLst>
          </c:dPt>
          <c:dPt>
            <c:idx val="4"/>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9-9250-491E-96A6-8C4AF15AE674}"/>
              </c:ext>
            </c:extLst>
          </c:dPt>
          <c:dLbls>
            <c:spPr>
              <a:noFill/>
              <a:ln>
                <a:noFill/>
              </a:ln>
              <a:effectLst/>
            </c:spPr>
            <c:txPr>
              <a:bodyPr/>
              <a:lstStyle/>
              <a:p>
                <a:pPr>
                  <a:defRPr sz="1100" b="1">
                    <a:solidFill>
                      <a:schemeClr val="bg1"/>
                    </a:solidFill>
                    <a:effectLst/>
                  </a:defRPr>
                </a:pPr>
                <a:endParaRPr lang="sr-Latn-R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Sheet1!$A$2:$A$6</c:f>
              <c:strCache>
                <c:ptCount val="5"/>
                <c:pt idx="0">
                  <c:v>Prihvaćeno</c:v>
                </c:pt>
                <c:pt idx="1">
                  <c:v>Neprihvaćeno</c:v>
                </c:pt>
                <c:pt idx="2">
                  <c:v>Djelomično prihvaćeno</c:v>
                </c:pt>
                <c:pt idx="3">
                  <c:v>Primljeno na znanje</c:v>
                </c:pt>
                <c:pt idx="4">
                  <c:v>Neodgovoreno</c:v>
                </c:pt>
              </c:strCache>
            </c:strRef>
          </c:cat>
          <c:val>
            <c:numRef>
              <c:f>Sheet1!$B$2:$B$6</c:f>
              <c:numCache>
                <c:formatCode>0</c:formatCode>
                <c:ptCount val="5"/>
                <c:pt idx="0">
                  <c:v>12.715433036683308</c:v>
                </c:pt>
                <c:pt idx="1">
                  <c:v>30.761884089429131</c:v>
                </c:pt>
                <c:pt idx="2">
                  <c:v>7.1282830475363577</c:v>
                </c:pt>
                <c:pt idx="3">
                  <c:v>36.900369003690038</c:v>
                </c:pt>
                <c:pt idx="4">
                  <c:v>12.494030822661168</c:v>
                </c:pt>
              </c:numCache>
            </c:numRef>
          </c:val>
          <c:extLst xmlns:c16r2="http://schemas.microsoft.com/office/drawing/2015/06/chart">
            <c:ext xmlns:c16="http://schemas.microsoft.com/office/drawing/2014/chart" uri="{C3380CC4-5D6E-409C-BE32-E72D297353CC}">
              <c16:uniqueId val="{0000000C-9250-491E-96A6-8C4AF15AE674}"/>
            </c:ext>
          </c:extLst>
        </c:ser>
        <c:ser>
          <c:idx val="1"/>
          <c:order val="1"/>
          <c:tx>
            <c:v>Labels</c:v>
          </c:tx>
          <c:spPr>
            <a:noFill/>
            <a:ln>
              <a:noFill/>
            </a:ln>
          </c:spPr>
          <c:dLbls>
            <c:dLbl>
              <c:idx val="0"/>
              <c:layout>
                <c:manualLayout>
                  <c:x val="5.5266673396594655E-2"/>
                  <c:y val="4.3238037552998182E-2"/>
                </c:manualLayout>
              </c:layout>
              <c:numFmt formatCode="@" sourceLinked="0"/>
              <c:spPr>
                <a:noFill/>
                <a:ln>
                  <a:noFill/>
                </a:ln>
                <a:effectLst/>
              </c:spPr>
              <c:txPr>
                <a:bodyPr rot="0" vert="horz" anchor="b" anchorCtr="0"/>
                <a:lstStyle/>
                <a:p>
                  <a:pPr>
                    <a:defRPr sz="1050" b="1" cap="none" baseline="0">
                      <a:solidFill>
                        <a:schemeClr val="accent5"/>
                      </a:solidFill>
                    </a:defRPr>
                  </a:pPr>
                  <a:endParaRPr lang="sr-Latn-RS"/>
                </a:p>
              </c:txPr>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D-9250-491E-96A6-8C4AF15AE674}"/>
                </c:ext>
                <c:ext xmlns:c15="http://schemas.microsoft.com/office/drawing/2012/chart" uri="{CE6537A1-D6FC-4f65-9D91-7224C49458BB}"/>
              </c:extLst>
            </c:dLbl>
            <c:dLbl>
              <c:idx val="1"/>
              <c:layout>
                <c:manualLayout>
                  <c:x val="5.2943670502725623E-2"/>
                  <c:y val="-1.8724712295578438E-2"/>
                </c:manualLayout>
              </c:layout>
              <c:numFmt formatCode="@" sourceLinked="0"/>
              <c:spPr>
                <a:noFill/>
                <a:ln>
                  <a:noFill/>
                </a:ln>
                <a:effectLst/>
              </c:spPr>
              <c:txPr>
                <a:bodyPr rot="0" vert="horz" anchor="b" anchorCtr="0"/>
                <a:lstStyle/>
                <a:p>
                  <a:pPr>
                    <a:defRPr sz="1050" b="1" cap="none" baseline="0">
                      <a:solidFill>
                        <a:schemeClr val="accent2"/>
                      </a:solidFill>
                    </a:defRPr>
                  </a:pPr>
                  <a:endParaRPr lang="sr-Latn-RS"/>
                </a:p>
              </c:txPr>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E-9250-491E-96A6-8C4AF15AE674}"/>
                </c:ext>
                <c:ext xmlns:c15="http://schemas.microsoft.com/office/drawing/2012/chart" uri="{CE6537A1-D6FC-4f65-9D91-7224C49458BB}"/>
              </c:extLst>
            </c:dLbl>
            <c:dLbl>
              <c:idx val="2"/>
              <c:layout>
                <c:manualLayout>
                  <c:x val="5.1132731004778172E-2"/>
                  <c:y val="-6.0808600847970925E-3"/>
                </c:manualLayout>
              </c:layout>
              <c:numFmt formatCode="@" sourceLinked="0"/>
              <c:spPr>
                <a:noFill/>
                <a:ln>
                  <a:noFill/>
                </a:ln>
                <a:effectLst/>
              </c:spPr>
              <c:txPr>
                <a:bodyPr rot="0" vert="horz" anchor="b" anchorCtr="0"/>
                <a:lstStyle/>
                <a:p>
                  <a:pPr>
                    <a:defRPr sz="1050" b="1" cap="none" baseline="0">
                      <a:solidFill>
                        <a:schemeClr val="accent6"/>
                      </a:solidFill>
                    </a:defRPr>
                  </a:pPr>
                  <a:endParaRPr lang="sr-Latn-RS"/>
                </a:p>
              </c:txPr>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F-9250-491E-96A6-8C4AF15AE674}"/>
                </c:ext>
                <c:ext xmlns:c15="http://schemas.microsoft.com/office/drawing/2012/chart" uri="{CE6537A1-D6FC-4f65-9D91-7224C49458BB}">
                  <c15:layout>
                    <c:manualLayout>
                      <c:w val="0.18719008681607102"/>
                      <c:h val="0.1216923076923077"/>
                    </c:manualLayout>
                  </c15:layout>
                </c:ext>
              </c:extLst>
            </c:dLbl>
            <c:dLbl>
              <c:idx val="3"/>
              <c:layout>
                <c:manualLayout>
                  <c:x val="-4.1434820647419074E-2"/>
                  <c:y val="-1.2584797092671108E-3"/>
                </c:manualLayout>
              </c:layout>
              <c:numFmt formatCode="@" sourceLinked="0"/>
              <c:spPr>
                <a:noFill/>
                <a:ln>
                  <a:noFill/>
                </a:ln>
                <a:effectLst/>
              </c:spPr>
              <c:txPr>
                <a:bodyPr rot="0" vert="horz" anchor="b" anchorCtr="0"/>
                <a:lstStyle/>
                <a:p>
                  <a:pPr>
                    <a:defRPr sz="1050" b="1" cap="none" baseline="0">
                      <a:solidFill>
                        <a:schemeClr val="accent1"/>
                      </a:solidFill>
                    </a:defRPr>
                  </a:pPr>
                  <a:endParaRPr lang="sr-Latn-RS"/>
                </a:p>
              </c:txPr>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10-9250-491E-96A6-8C4AF15AE674}"/>
                </c:ext>
                <c:ext xmlns:c15="http://schemas.microsoft.com/office/drawing/2012/chart" uri="{CE6537A1-D6FC-4f65-9D91-7224C49458BB}">
                  <c15:layout>
                    <c:manualLayout>
                      <c:w val="0.13025573726361128"/>
                      <c:h val="0.13547789218655359"/>
                    </c:manualLayout>
                  </c15:layout>
                </c:ext>
              </c:extLst>
            </c:dLbl>
            <c:dLbl>
              <c:idx val="4"/>
              <c:layout>
                <c:manualLayout>
                  <c:x val="-5.8059048365095012E-2"/>
                  <c:y val="7.853822184619285E-3"/>
                </c:manualLayout>
              </c:layout>
              <c:numFmt formatCode="@" sourceLinked="0"/>
              <c:spPr>
                <a:noFill/>
                <a:ln>
                  <a:noFill/>
                </a:ln>
                <a:effectLst/>
              </c:spPr>
              <c:txPr>
                <a:bodyPr rot="0" vert="horz" anchor="b" anchorCtr="0"/>
                <a:lstStyle/>
                <a:p>
                  <a:pPr>
                    <a:defRPr sz="1050" b="1" cap="none" baseline="0">
                      <a:solidFill>
                        <a:schemeClr val="accent4"/>
                      </a:solidFill>
                    </a:defRPr>
                  </a:pPr>
                  <a:endParaRPr lang="sr-Latn-RS"/>
                </a:p>
              </c:txPr>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11-9250-491E-96A6-8C4AF15AE674}"/>
                </c:ext>
                <c:ext xmlns:c15="http://schemas.microsoft.com/office/drawing/2012/chart" uri="{CE6537A1-D6FC-4f65-9D91-7224C49458BB}">
                  <c15:layout>
                    <c:manualLayout>
                      <c:w val="0.21049536743155819"/>
                      <c:h val="0.10722575814301757"/>
                    </c:manualLayout>
                  </c15:layout>
                </c:ext>
              </c:extLst>
            </c:dLbl>
            <c:numFmt formatCode="@" sourceLinked="0"/>
            <c:spPr>
              <a:noFill/>
              <a:ln>
                <a:noFill/>
              </a:ln>
              <a:effectLst/>
            </c:spPr>
            <c:txPr>
              <a:bodyPr rot="0" vert="horz" anchor="b" anchorCtr="0"/>
              <a:lstStyle/>
              <a:p>
                <a:pPr>
                  <a:defRPr sz="1050" b="1" cap="none" baseline="0">
                    <a:solidFill>
                      <a:srgbClr val="424242"/>
                    </a:solidFill>
                  </a:defRPr>
                </a:pPr>
                <a:endParaRPr lang="sr-Latn-RS"/>
              </a:p>
            </c:txPr>
            <c:showLegendKey val="0"/>
            <c:showVal val="0"/>
            <c:showCatName val="1"/>
            <c:showSerName val="0"/>
            <c:showPercent val="0"/>
            <c:showBubbleSize val="0"/>
            <c:showLeaderLines val="0"/>
            <c:extLst xmlns:c16r2="http://schemas.microsoft.com/office/drawing/2015/06/chart">
              <c:ext xmlns:c15="http://schemas.microsoft.com/office/drawing/2012/chart" uri="{CE6537A1-D6FC-4f65-9D91-7224C49458BB}"/>
            </c:extLst>
          </c:dLbls>
          <c:cat>
            <c:strRef>
              <c:f>Sheet1!$A$2:$A$6</c:f>
              <c:strCache>
                <c:ptCount val="5"/>
                <c:pt idx="0">
                  <c:v>Prihvaćeno</c:v>
                </c:pt>
                <c:pt idx="1">
                  <c:v>Neprihvaćeno</c:v>
                </c:pt>
                <c:pt idx="2">
                  <c:v>Djelomično prihvaćeno</c:v>
                </c:pt>
                <c:pt idx="3">
                  <c:v>Primljeno na znanje</c:v>
                </c:pt>
                <c:pt idx="4">
                  <c:v>Neodgovoreno</c:v>
                </c:pt>
              </c:strCache>
            </c:strRef>
          </c:cat>
          <c:val>
            <c:numRef>
              <c:f>Sheet1!$GL$2:$GL$6</c:f>
              <c:numCache>
                <c:formatCode>General</c:formatCode>
                <c:ptCount val="5"/>
                <c:pt idx="0">
                  <c:v>12.715433036683308</c:v>
                </c:pt>
                <c:pt idx="1">
                  <c:v>30.761884089429131</c:v>
                </c:pt>
                <c:pt idx="2">
                  <c:v>7.1282830475363577</c:v>
                </c:pt>
                <c:pt idx="3">
                  <c:v>36.900369003690038</c:v>
                </c:pt>
                <c:pt idx="4">
                  <c:v>12.494030822661168</c:v>
                </c:pt>
              </c:numCache>
            </c:numRef>
          </c:val>
          <c:extLst xmlns:c16r2="http://schemas.microsoft.com/office/drawing/2015/06/chart">
            <c:ext xmlns:c16="http://schemas.microsoft.com/office/drawing/2014/chart" uri="{C3380CC4-5D6E-409C-BE32-E72D297353CC}">
              <c16:uniqueId val="{00000013-9250-491E-96A6-8C4AF15AE674}"/>
            </c:ext>
          </c:extLst>
        </c:ser>
        <c:dLbls>
          <c:showLegendKey val="0"/>
          <c:showVal val="0"/>
          <c:showCatName val="0"/>
          <c:showSerName val="0"/>
          <c:showPercent val="1"/>
          <c:showBubbleSize val="0"/>
          <c:showLeaderLines val="1"/>
        </c:dLbls>
        <c:firstSliceAng val="0"/>
        <c:holeSize val="40"/>
      </c:doughnutChart>
    </c:plotArea>
    <c:plotVisOnly val="1"/>
    <c:dispBlanksAs val="gap"/>
    <c:showDLblsOverMax val="0"/>
  </c:chart>
  <c:spPr>
    <a:solidFill>
      <a:schemeClr val="bg1"/>
    </a:solidFill>
    <a:ln>
      <a:solidFill>
        <a:schemeClr val="bg1">
          <a:lumMod val="85000"/>
        </a:schemeClr>
      </a:solidFill>
    </a:ln>
    <a:effectLst>
      <a:outerShdw blurRad="50800" dist="38100" dir="5400000" algn="t" rotWithShape="0">
        <a:prstClr val="black">
          <a:alpha val="40000"/>
        </a:prstClr>
      </a:outerShdw>
    </a:effectLst>
  </c:spPr>
  <c:txPr>
    <a:bodyPr/>
    <a:lstStyle/>
    <a:p>
      <a:pPr>
        <a:defRPr sz="1800"/>
      </a:pPr>
      <a:endParaRPr lang="sr-Latn-R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Sheet1!$B$1</c:f>
              <c:strCache>
                <c:ptCount val="1"/>
                <c:pt idx="0">
                  <c:v>Column1</c:v>
                </c:pt>
              </c:strCache>
            </c:strRef>
          </c:tx>
          <c:spPr>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a:noFill/>
            </a:ln>
            <a:effectLst>
              <a:outerShdw blurRad="57150" dist="19050" dir="5400000" algn="ctr" rotWithShape="0">
                <a:srgbClr val="000000">
                  <a:alpha val="63000"/>
                </a:srgbClr>
              </a:outerShdw>
            </a:effectLst>
          </c:spPr>
          <c:invertIfNegative val="0"/>
          <c:dLbls>
            <c:spPr>
              <a:solidFill>
                <a:sysClr val="window" lastClr="FFFFFF"/>
              </a:solidFill>
              <a:ln w="28575">
                <a:solidFill>
                  <a:srgbClr val="FFC000"/>
                </a:solid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sr-Latn-R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Objava izvješća o provedenom savjetovanju</c:v>
                </c:pt>
                <c:pt idx="1">
                  <c:v>Objava komentara s obrazloženjima o prihvaćanju/neprihvaćanju</c:v>
                </c:pt>
                <c:pt idx="2">
                  <c:v>Objava integralnih komentara za internetskoj stranici</c:v>
                </c:pt>
              </c:strCache>
            </c:strRef>
          </c:cat>
          <c:val>
            <c:numRef>
              <c:f>Sheet1!$B$2:$B$4</c:f>
              <c:numCache>
                <c:formatCode>General</c:formatCode>
                <c:ptCount val="3"/>
                <c:pt idx="0">
                  <c:v>39</c:v>
                </c:pt>
                <c:pt idx="1">
                  <c:v>32</c:v>
                </c:pt>
                <c:pt idx="2">
                  <c:v>1</c:v>
                </c:pt>
              </c:numCache>
            </c:numRef>
          </c:val>
          <c:extLst xmlns:c16r2="http://schemas.microsoft.com/office/drawing/2015/06/chart">
            <c:ext xmlns:c16="http://schemas.microsoft.com/office/drawing/2014/chart" uri="{C3380CC4-5D6E-409C-BE32-E72D297353CC}">
              <c16:uniqueId val="{00000000-8953-4051-90F2-37392B229AAA}"/>
            </c:ext>
          </c:extLst>
        </c:ser>
        <c:dLbls>
          <c:dLblPos val="ctr"/>
          <c:showLegendKey val="0"/>
          <c:showVal val="1"/>
          <c:showCatName val="0"/>
          <c:showSerName val="0"/>
          <c:showPercent val="0"/>
          <c:showBubbleSize val="0"/>
        </c:dLbls>
        <c:gapWidth val="250"/>
        <c:axId val="-1434791984"/>
        <c:axId val="-1434792528"/>
      </c:barChart>
      <c:catAx>
        <c:axId val="-1434791984"/>
        <c:scaling>
          <c:orientation val="maxMin"/>
        </c:scaling>
        <c:delete val="0"/>
        <c:axPos val="l"/>
        <c:numFmt formatCode="General" sourceLinked="0"/>
        <c:majorTickMark val="none"/>
        <c:minorTickMark val="none"/>
        <c:tickLblPos val="nextTo"/>
        <c:spPr>
          <a:noFill/>
          <a:ln w="19050" cap="flat" cmpd="sng" algn="ctr">
            <a:noFill/>
            <a:round/>
          </a:ln>
          <a:effectLst/>
        </c:spPr>
        <c:txPr>
          <a:bodyPr rot="-6000000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sr-Latn-RS"/>
          </a:p>
        </c:txPr>
        <c:crossAx val="-1434792528"/>
        <c:crosses val="autoZero"/>
        <c:auto val="1"/>
        <c:lblAlgn val="ctr"/>
        <c:lblOffset val="100"/>
        <c:noMultiLvlLbl val="0"/>
      </c:catAx>
      <c:valAx>
        <c:axId val="-1434792528"/>
        <c:scaling>
          <c:orientation val="minMax"/>
          <c:max val="50"/>
          <c:min val="0"/>
        </c:scaling>
        <c:delete val="1"/>
        <c:axPos val="t"/>
        <c:numFmt formatCode="General" sourceLinked="1"/>
        <c:majorTickMark val="out"/>
        <c:minorTickMark val="none"/>
        <c:tickLblPos val="nextTo"/>
        <c:crossAx val="-1434791984"/>
        <c:crosses val="autoZero"/>
        <c:crossBetween val="between"/>
        <c:majorUnit val="20"/>
      </c:valAx>
      <c:spPr>
        <a:noFill/>
        <a:ln>
          <a:noFill/>
        </a:ln>
        <a:effectLst/>
      </c:spPr>
    </c:plotArea>
    <c:plotVisOnly val="1"/>
    <c:dispBlanksAs val="gap"/>
    <c:showDLblsOverMax val="0"/>
  </c:chart>
  <c:spPr>
    <a:solidFill>
      <a:sysClr val="window" lastClr="FFFFFF"/>
    </a:solidFill>
    <a:ln w="9525" cap="flat" cmpd="sng" algn="ctr">
      <a:solidFill>
        <a:schemeClr val="tx1">
          <a:lumMod val="15000"/>
          <a:lumOff val="85000"/>
        </a:schemeClr>
      </a:solidFill>
      <a:round/>
    </a:ln>
    <a:effectLst>
      <a:outerShdw blurRad="50800" dist="38100" dir="5400000" algn="t" rotWithShape="0">
        <a:prstClr val="black">
          <a:alpha val="40000"/>
        </a:prstClr>
      </a:outerShdw>
    </a:effectLst>
  </c:spPr>
  <c:txPr>
    <a:bodyPr/>
    <a:lstStyle/>
    <a:p>
      <a:pPr>
        <a:defRPr/>
      </a:pPr>
      <a:endParaRPr lang="sr-Latn-RS"/>
    </a:p>
  </c:txPr>
  <c:externalData r:id="rId4">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Reversed" id="21">
  <a:schemeClr val="accent1"/>
</cs:colorStyle>
</file>

<file path=word/charts/colors5.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A7F2B-16AF-4549-B4AE-36C1C08D7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6051</Words>
  <Characters>34491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Nemanja Relic</dc:creator>
  <cp:keywords/>
  <dc:description/>
  <cp:lastModifiedBy>Nemanja Relic</cp:lastModifiedBy>
  <cp:revision>2</cp:revision>
  <cp:lastPrinted>2019-10-01T08:49:00Z</cp:lastPrinted>
  <dcterms:created xsi:type="dcterms:W3CDTF">2019-10-28T12:51:00Z</dcterms:created>
  <dcterms:modified xsi:type="dcterms:W3CDTF">2019-10-28T12:51:00Z</dcterms:modified>
</cp:coreProperties>
</file>